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112B" w14:textId="72E9C5A7" w:rsidR="000B7810" w:rsidRPr="00657009" w:rsidRDefault="000B7810" w:rsidP="006F2CC3">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8B6FD4"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F65D88B" w14:textId="71A7EDC8" w:rsidR="007D1E76" w:rsidRPr="00E74967" w:rsidRDefault="007D1E76" w:rsidP="00CB41C4">
      <w:pPr>
        <w:tabs>
          <w:tab w:val="left" w:leader="underscore" w:pos="9639"/>
        </w:tabs>
        <w:spacing w:after="0" w:line="240" w:lineRule="auto"/>
        <w:jc w:val="both"/>
        <w:rPr>
          <w:rFonts w:cs="Calibri"/>
        </w:rPr>
      </w:pPr>
    </w:p>
    <w:p w14:paraId="4565F735" w14:textId="32EC94FB" w:rsidR="00923B37" w:rsidRPr="008862CA" w:rsidRDefault="007D1E76" w:rsidP="00923B37">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 xml:space="preserve">1. </w:t>
      </w:r>
      <w:bookmarkStart w:id="1" w:name="_Toc508279623"/>
      <w:r w:rsidR="00923B37" w:rsidRPr="00DD3E41">
        <w:rPr>
          <w:rFonts w:asciiTheme="minorHAnsi" w:hAnsiTheme="minorHAnsi" w:cstheme="minorHAnsi"/>
          <w:b/>
          <w:color w:val="auto"/>
          <w:sz w:val="22"/>
        </w:rPr>
        <w:t>Autorización e Historia:</w:t>
      </w:r>
      <w:bookmarkEnd w:id="1"/>
    </w:p>
    <w:p w14:paraId="73C990CE" w14:textId="77777777" w:rsidR="00923B37" w:rsidRPr="00677E5A" w:rsidRDefault="00923B37" w:rsidP="00923B37">
      <w:pPr>
        <w:pStyle w:val="Prrafodelista"/>
        <w:numPr>
          <w:ilvl w:val="0"/>
          <w:numId w:val="2"/>
        </w:numPr>
        <w:tabs>
          <w:tab w:val="left" w:leader="underscore" w:pos="9639"/>
        </w:tabs>
        <w:spacing w:after="0" w:line="240" w:lineRule="auto"/>
        <w:jc w:val="both"/>
        <w:rPr>
          <w:rFonts w:cs="Calibri"/>
        </w:rPr>
      </w:pPr>
      <w:r w:rsidRPr="00677E5A">
        <w:rPr>
          <w:rFonts w:cs="Calibri"/>
        </w:rPr>
        <w:t>1953-1954</w:t>
      </w:r>
    </w:p>
    <w:p w14:paraId="16C525E6" w14:textId="77777777" w:rsidR="00923B37" w:rsidRPr="00677E5A" w:rsidRDefault="00923B37" w:rsidP="00923B37">
      <w:pPr>
        <w:tabs>
          <w:tab w:val="left" w:leader="underscore" w:pos="9639"/>
        </w:tabs>
        <w:spacing w:after="0" w:line="240" w:lineRule="auto"/>
        <w:jc w:val="both"/>
        <w:rPr>
          <w:rFonts w:cs="Calibri"/>
        </w:rPr>
      </w:pPr>
      <w:r w:rsidRPr="00677E5A">
        <w:rPr>
          <w:rFonts w:cs="Calibri"/>
        </w:rPr>
        <w:t>Se construye la presa El Palote, para dota de agua a León y prevenir inundaciones</w:t>
      </w:r>
    </w:p>
    <w:p w14:paraId="244BB429" w14:textId="77777777" w:rsidR="00923B37" w:rsidRPr="00677E5A" w:rsidRDefault="00923B37" w:rsidP="00923B37">
      <w:pPr>
        <w:pStyle w:val="Prrafodelista"/>
        <w:numPr>
          <w:ilvl w:val="0"/>
          <w:numId w:val="2"/>
        </w:numPr>
        <w:tabs>
          <w:tab w:val="left" w:leader="underscore" w:pos="9639"/>
        </w:tabs>
        <w:spacing w:after="0" w:line="240" w:lineRule="auto"/>
        <w:jc w:val="both"/>
        <w:rPr>
          <w:rFonts w:cs="Calibri"/>
        </w:rPr>
      </w:pPr>
      <w:r w:rsidRPr="00677E5A">
        <w:rPr>
          <w:rFonts w:cs="Calibri"/>
        </w:rPr>
        <w:t>1994-1999</w:t>
      </w:r>
    </w:p>
    <w:p w14:paraId="074B46F0" w14:textId="77777777" w:rsidR="00923B37" w:rsidRPr="00677E5A" w:rsidRDefault="00923B37" w:rsidP="00923B37">
      <w:pPr>
        <w:tabs>
          <w:tab w:val="left" w:leader="underscore" w:pos="9639"/>
        </w:tabs>
        <w:spacing w:after="0" w:line="240" w:lineRule="auto"/>
        <w:jc w:val="both"/>
        <w:rPr>
          <w:rFonts w:cs="Calibri"/>
        </w:rPr>
      </w:pPr>
      <w:r w:rsidRPr="00677E5A">
        <w:rPr>
          <w:rFonts w:cs="Calibri"/>
        </w:rPr>
        <w:t xml:space="preserve">Se construye la pista y se delimita el perímetro del parque, aunque no se concertó la tenencia legal de los terrenos. </w:t>
      </w:r>
    </w:p>
    <w:p w14:paraId="6DED27F2" w14:textId="77777777" w:rsidR="00923B37" w:rsidRPr="00677E5A" w:rsidRDefault="00923B37" w:rsidP="00923B37">
      <w:pPr>
        <w:tabs>
          <w:tab w:val="left" w:leader="underscore" w:pos="9639"/>
        </w:tabs>
        <w:spacing w:after="0" w:line="240" w:lineRule="auto"/>
        <w:jc w:val="both"/>
        <w:rPr>
          <w:rFonts w:cs="Calibri"/>
        </w:rPr>
      </w:pPr>
      <w:r w:rsidRPr="00677E5A">
        <w:rPr>
          <w:rFonts w:cs="Calibri"/>
        </w:rPr>
        <w:t>En 1997 durante la gestión de Jorge Arena Elizondo. Parque Los Cárcamos queda bajo la administración del Parque Metropolitano, y en 1999, se construye la Ciudad Infantil.</w:t>
      </w:r>
    </w:p>
    <w:p w14:paraId="3E22690C" w14:textId="77777777" w:rsidR="00923B37" w:rsidRPr="00677E5A" w:rsidRDefault="00923B37" w:rsidP="00923B37">
      <w:pPr>
        <w:pStyle w:val="Prrafodelista"/>
        <w:numPr>
          <w:ilvl w:val="0"/>
          <w:numId w:val="2"/>
        </w:numPr>
        <w:tabs>
          <w:tab w:val="left" w:leader="underscore" w:pos="9639"/>
        </w:tabs>
        <w:spacing w:after="0" w:line="240" w:lineRule="auto"/>
        <w:jc w:val="both"/>
        <w:rPr>
          <w:rFonts w:cs="Calibri"/>
        </w:rPr>
      </w:pPr>
      <w:r w:rsidRPr="00677E5A">
        <w:rPr>
          <w:rFonts w:cs="Calibri"/>
        </w:rPr>
        <w:t>1992-1993</w:t>
      </w:r>
    </w:p>
    <w:p w14:paraId="24073007" w14:textId="28547CBB" w:rsidR="00923B37" w:rsidRPr="00677E5A" w:rsidRDefault="00923B37" w:rsidP="00923B37">
      <w:pPr>
        <w:tabs>
          <w:tab w:val="left" w:leader="underscore" w:pos="9639"/>
        </w:tabs>
        <w:spacing w:after="0" w:line="240" w:lineRule="auto"/>
        <w:jc w:val="both"/>
        <w:rPr>
          <w:rFonts w:cs="Calibri"/>
        </w:rPr>
      </w:pPr>
      <w:r w:rsidRPr="00677E5A">
        <w:rPr>
          <w:rFonts w:cs="Calibri"/>
        </w:rPr>
        <w:t>Los terrenos alrededor de la presa se usaban como tiradero de basura y, más tarde fueron sede de un club náutico.</w:t>
      </w:r>
    </w:p>
    <w:p w14:paraId="42CA4A8B" w14:textId="77777777" w:rsidR="00923B37" w:rsidRPr="00677E5A" w:rsidRDefault="00923B37" w:rsidP="00923B37">
      <w:pPr>
        <w:pStyle w:val="Prrafodelista"/>
        <w:numPr>
          <w:ilvl w:val="0"/>
          <w:numId w:val="2"/>
        </w:numPr>
        <w:tabs>
          <w:tab w:val="left" w:leader="underscore" w:pos="9639"/>
        </w:tabs>
        <w:spacing w:after="0" w:line="240" w:lineRule="auto"/>
        <w:jc w:val="both"/>
        <w:rPr>
          <w:rFonts w:cs="Calibri"/>
        </w:rPr>
      </w:pPr>
      <w:r w:rsidRPr="00677E5A">
        <w:rPr>
          <w:rFonts w:cs="Calibri"/>
        </w:rPr>
        <w:t>2000-2003</w:t>
      </w:r>
    </w:p>
    <w:p w14:paraId="659A93B4" w14:textId="77777777" w:rsidR="00923B37" w:rsidRPr="00677E5A" w:rsidRDefault="00923B37" w:rsidP="00923B37">
      <w:pPr>
        <w:tabs>
          <w:tab w:val="left" w:leader="underscore" w:pos="9639"/>
        </w:tabs>
        <w:spacing w:after="0" w:line="240" w:lineRule="auto"/>
        <w:jc w:val="both"/>
        <w:rPr>
          <w:rFonts w:cs="Calibri"/>
        </w:rPr>
      </w:pPr>
      <w:r w:rsidRPr="00677E5A">
        <w:rPr>
          <w:rFonts w:cs="Calibri"/>
        </w:rPr>
        <w:t>En septiembre de 2000 se declara al Parque Metropolitano como Área Natural Protegida de competencia estatal.</w:t>
      </w:r>
    </w:p>
    <w:p w14:paraId="76215F17" w14:textId="13BAFCF7" w:rsidR="00923B37" w:rsidRPr="00677E5A" w:rsidRDefault="00923B37" w:rsidP="00923B37">
      <w:pPr>
        <w:tabs>
          <w:tab w:val="left" w:leader="underscore" w:pos="9639"/>
        </w:tabs>
        <w:spacing w:after="0" w:line="240" w:lineRule="auto"/>
        <w:jc w:val="both"/>
        <w:rPr>
          <w:rFonts w:cs="Calibri"/>
        </w:rPr>
      </w:pPr>
      <w:r w:rsidRPr="00677E5A">
        <w:rPr>
          <w:rFonts w:cs="Calibri"/>
        </w:rPr>
        <w:t>En agosto de 20</w:t>
      </w:r>
      <w:r>
        <w:rPr>
          <w:rFonts w:cs="Calibri"/>
        </w:rPr>
        <w:t>0</w:t>
      </w:r>
      <w:r w:rsidRPr="00677E5A">
        <w:rPr>
          <w:rFonts w:cs="Calibri"/>
        </w:rPr>
        <w:t>3, durante la gestión de Jorge Alba Valenzuela (2000-2007), se crea el Patronato del</w:t>
      </w:r>
      <w:r w:rsidR="00C86A7B">
        <w:rPr>
          <w:rFonts w:cs="Calibri"/>
        </w:rPr>
        <w:t xml:space="preserve"> </w:t>
      </w:r>
      <w:r w:rsidRPr="00677E5A">
        <w:rPr>
          <w:rFonts w:cs="Calibri"/>
        </w:rPr>
        <w:t>Parque Ecológico Metropolitano de León, que sustituye el Fideicomiso “Parque Ecológico Metropolitano”.</w:t>
      </w:r>
    </w:p>
    <w:p w14:paraId="7949FB79" w14:textId="77777777" w:rsidR="00923B37" w:rsidRPr="00677E5A" w:rsidRDefault="00923B37" w:rsidP="00923B37">
      <w:pPr>
        <w:pStyle w:val="Prrafodelista"/>
        <w:numPr>
          <w:ilvl w:val="0"/>
          <w:numId w:val="2"/>
        </w:numPr>
        <w:tabs>
          <w:tab w:val="left" w:leader="underscore" w:pos="9639"/>
        </w:tabs>
        <w:spacing w:after="0" w:line="240" w:lineRule="auto"/>
        <w:jc w:val="both"/>
        <w:rPr>
          <w:rFonts w:cs="Calibri"/>
        </w:rPr>
      </w:pPr>
      <w:r w:rsidRPr="00677E5A">
        <w:rPr>
          <w:rFonts w:cs="Calibri"/>
        </w:rPr>
        <w:t>2004-2015</w:t>
      </w:r>
    </w:p>
    <w:p w14:paraId="2641568E" w14:textId="77777777" w:rsidR="00923B37" w:rsidRPr="00677E5A" w:rsidRDefault="00923B37" w:rsidP="00923B37">
      <w:pPr>
        <w:tabs>
          <w:tab w:val="left" w:leader="underscore" w:pos="9639"/>
        </w:tabs>
        <w:spacing w:after="0" w:line="240" w:lineRule="auto"/>
        <w:jc w:val="both"/>
        <w:rPr>
          <w:rFonts w:cs="Calibri"/>
        </w:rPr>
      </w:pPr>
      <w:r w:rsidRPr="00677E5A">
        <w:rPr>
          <w:rFonts w:cs="Calibri"/>
        </w:rPr>
        <w:t>Durante las gestiones de Felipe González Muñoz (2007-2010) y José de Jesús Aranda Regalado (2010-2012), consolidan eventos como el Festival del Globo (2002), la Carrera La Nocturna (2004), el Campeonato Mundial de Motocross y Estruendo (2009) y se elabora el Plan Maestro para el Parque Metropolitano de León (2012).</w:t>
      </w:r>
    </w:p>
    <w:p w14:paraId="33A25A55" w14:textId="77777777" w:rsidR="00923B37" w:rsidRPr="00677E5A" w:rsidRDefault="00923B37" w:rsidP="00923B37">
      <w:pPr>
        <w:tabs>
          <w:tab w:val="left" w:leader="underscore" w:pos="9639"/>
        </w:tabs>
        <w:spacing w:after="0" w:line="240" w:lineRule="auto"/>
        <w:jc w:val="both"/>
        <w:rPr>
          <w:rFonts w:cs="Calibri"/>
        </w:rPr>
      </w:pPr>
      <w:r w:rsidRPr="00677E5A">
        <w:rPr>
          <w:rFonts w:cs="Calibri"/>
        </w:rPr>
        <w:t>En la administración de Daniel Olaf Gómez Muñoz (2012-2015) se establece el Bazar Orgánico en Parque Los Cárcamos y se realiza el proyecto de iluminación de la pista.</w:t>
      </w:r>
    </w:p>
    <w:p w14:paraId="76703310" w14:textId="77777777" w:rsidR="00923B37" w:rsidRPr="00677E5A" w:rsidRDefault="00923B37" w:rsidP="00923B37">
      <w:pPr>
        <w:pStyle w:val="Prrafodelista"/>
        <w:numPr>
          <w:ilvl w:val="0"/>
          <w:numId w:val="2"/>
        </w:numPr>
        <w:tabs>
          <w:tab w:val="left" w:leader="underscore" w:pos="9639"/>
        </w:tabs>
        <w:spacing w:after="0" w:line="240" w:lineRule="auto"/>
        <w:jc w:val="both"/>
        <w:rPr>
          <w:rFonts w:cs="Calibri"/>
        </w:rPr>
      </w:pPr>
      <w:r w:rsidRPr="00677E5A">
        <w:rPr>
          <w:rFonts w:cs="Calibri"/>
        </w:rPr>
        <w:t>2018-2020</w:t>
      </w:r>
    </w:p>
    <w:p w14:paraId="4963D1E4" w14:textId="77777777" w:rsidR="00923B37" w:rsidRPr="00677E5A" w:rsidRDefault="00923B37" w:rsidP="00923B37">
      <w:pPr>
        <w:tabs>
          <w:tab w:val="left" w:leader="underscore" w:pos="9639"/>
        </w:tabs>
        <w:spacing w:after="0" w:line="240" w:lineRule="auto"/>
        <w:jc w:val="both"/>
        <w:rPr>
          <w:rFonts w:cs="Calibri"/>
        </w:rPr>
      </w:pPr>
      <w:r w:rsidRPr="00677E5A">
        <w:rPr>
          <w:rFonts w:cs="Calibri"/>
        </w:rPr>
        <w:t xml:space="preserve">Reconocido como Parque Urbano Valioso e interesante por la </w:t>
      </w:r>
      <w:proofErr w:type="spellStart"/>
      <w:r w:rsidRPr="00677E5A">
        <w:rPr>
          <w:rFonts w:cs="Calibri"/>
        </w:rPr>
        <w:t>World</w:t>
      </w:r>
      <w:proofErr w:type="spellEnd"/>
      <w:r w:rsidRPr="00677E5A">
        <w:rPr>
          <w:rFonts w:cs="Calibri"/>
        </w:rPr>
        <w:t xml:space="preserve"> Urban Parks.</w:t>
      </w:r>
    </w:p>
    <w:p w14:paraId="1577F305" w14:textId="77777777" w:rsidR="00923B37" w:rsidRPr="00677E5A" w:rsidRDefault="00923B37" w:rsidP="00923B37">
      <w:pPr>
        <w:tabs>
          <w:tab w:val="left" w:leader="underscore" w:pos="9639"/>
        </w:tabs>
        <w:spacing w:after="0" w:line="240" w:lineRule="auto"/>
        <w:jc w:val="both"/>
        <w:rPr>
          <w:rFonts w:cs="Calibri"/>
        </w:rPr>
      </w:pPr>
      <w:r w:rsidRPr="00677E5A">
        <w:rPr>
          <w:rFonts w:cs="Calibri"/>
        </w:rPr>
        <w:t xml:space="preserve">Se obtiene la certificación </w:t>
      </w:r>
      <w:proofErr w:type="spellStart"/>
      <w:r w:rsidRPr="00677E5A">
        <w:rPr>
          <w:rFonts w:cs="Calibri"/>
        </w:rPr>
        <w:t>Biosphere</w:t>
      </w:r>
      <w:proofErr w:type="spellEnd"/>
      <w:r w:rsidRPr="00677E5A">
        <w:rPr>
          <w:rFonts w:cs="Calibri"/>
        </w:rPr>
        <w:t xml:space="preserve"> de Turismo Sustentable</w:t>
      </w:r>
    </w:p>
    <w:p w14:paraId="35B2BC77" w14:textId="77777777" w:rsidR="00923B37" w:rsidRPr="00677E5A" w:rsidRDefault="00923B37" w:rsidP="00923B37">
      <w:pPr>
        <w:tabs>
          <w:tab w:val="left" w:leader="underscore" w:pos="9639"/>
        </w:tabs>
        <w:spacing w:after="0" w:line="240" w:lineRule="auto"/>
        <w:jc w:val="both"/>
        <w:rPr>
          <w:rFonts w:cs="Calibri"/>
        </w:rPr>
      </w:pPr>
      <w:r w:rsidRPr="00677E5A">
        <w:rPr>
          <w:rFonts w:cs="Calibri"/>
        </w:rPr>
        <w:t xml:space="preserve">Comienza el programa </w:t>
      </w:r>
      <w:proofErr w:type="spellStart"/>
      <w:r w:rsidRPr="00677E5A">
        <w:rPr>
          <w:rFonts w:cs="Calibri"/>
        </w:rPr>
        <w:t>Pet</w:t>
      </w:r>
      <w:proofErr w:type="spellEnd"/>
      <w:r w:rsidRPr="00677E5A">
        <w:rPr>
          <w:rFonts w:cs="Calibri"/>
        </w:rPr>
        <w:t xml:space="preserve"> </w:t>
      </w:r>
      <w:proofErr w:type="spellStart"/>
      <w:r w:rsidRPr="00677E5A">
        <w:rPr>
          <w:rFonts w:cs="Calibri"/>
        </w:rPr>
        <w:t>Friendly</w:t>
      </w:r>
      <w:proofErr w:type="spellEnd"/>
    </w:p>
    <w:p w14:paraId="24F4FD2B" w14:textId="77777777" w:rsidR="00923B37" w:rsidRPr="00677E5A" w:rsidRDefault="00923B37" w:rsidP="00923B37">
      <w:pPr>
        <w:tabs>
          <w:tab w:val="left" w:leader="underscore" w:pos="9639"/>
        </w:tabs>
        <w:spacing w:after="0" w:line="240" w:lineRule="auto"/>
        <w:jc w:val="both"/>
        <w:rPr>
          <w:rFonts w:cs="Calibri"/>
        </w:rPr>
      </w:pPr>
      <w:r w:rsidRPr="00677E5A">
        <w:rPr>
          <w:rFonts w:cs="Calibri"/>
        </w:rPr>
        <w:t>Rediseño de imagen institucional</w:t>
      </w:r>
    </w:p>
    <w:p w14:paraId="65A12F96" w14:textId="77777777" w:rsidR="00923B37" w:rsidRPr="00677E5A" w:rsidRDefault="00923B37" w:rsidP="00923B37">
      <w:pPr>
        <w:tabs>
          <w:tab w:val="left" w:leader="underscore" w:pos="9639"/>
        </w:tabs>
        <w:spacing w:after="0" w:line="240" w:lineRule="auto"/>
        <w:jc w:val="both"/>
        <w:rPr>
          <w:rFonts w:cs="Calibri"/>
        </w:rPr>
      </w:pPr>
      <w:r w:rsidRPr="00677E5A">
        <w:rPr>
          <w:rFonts w:cs="Calibri"/>
        </w:rPr>
        <w:t>Instalación de sistema de videovigilancia y accesos inteligentes.</w:t>
      </w:r>
    </w:p>
    <w:p w14:paraId="73AB8CF1" w14:textId="77777777" w:rsidR="00923B37" w:rsidRPr="00677E5A" w:rsidRDefault="00923B37" w:rsidP="00923B37">
      <w:pPr>
        <w:tabs>
          <w:tab w:val="left" w:leader="underscore" w:pos="9639"/>
        </w:tabs>
        <w:spacing w:after="0" w:line="240" w:lineRule="auto"/>
        <w:jc w:val="both"/>
        <w:rPr>
          <w:rFonts w:cs="Calibri"/>
        </w:rPr>
      </w:pPr>
      <w:r w:rsidRPr="00677E5A">
        <w:rPr>
          <w:rFonts w:cs="Calibri"/>
        </w:rPr>
        <w:t>Comienzan las obras para la ampliación de 20 hectáreas en la Zona Norte del Parque</w:t>
      </w:r>
      <w:r>
        <w:rPr>
          <w:rFonts w:cs="Calibri"/>
        </w:rPr>
        <w:t>.</w:t>
      </w:r>
    </w:p>
    <w:p w14:paraId="174AF8A2" w14:textId="77777777" w:rsidR="00923B37" w:rsidRPr="00677E5A" w:rsidRDefault="00923B37" w:rsidP="00923B37">
      <w:pPr>
        <w:tabs>
          <w:tab w:val="left" w:leader="underscore" w:pos="9639"/>
        </w:tabs>
        <w:spacing w:after="0" w:line="240" w:lineRule="auto"/>
        <w:jc w:val="both"/>
        <w:rPr>
          <w:rFonts w:cs="Calibri"/>
        </w:rPr>
      </w:pPr>
      <w:r w:rsidRPr="00677E5A">
        <w:rPr>
          <w:rFonts w:cs="Calibri"/>
        </w:rPr>
        <w:t>El Parque Metropolitano es renombrado como “Ing. Eliseo Martínez Pérez”</w:t>
      </w:r>
      <w:r>
        <w:rPr>
          <w:rFonts w:cs="Calibri"/>
        </w:rPr>
        <w:t>.</w:t>
      </w:r>
    </w:p>
    <w:p w14:paraId="323114BA" w14:textId="77777777" w:rsidR="00923B37" w:rsidRPr="00677E5A" w:rsidRDefault="00923B37" w:rsidP="00923B37">
      <w:pPr>
        <w:tabs>
          <w:tab w:val="left" w:leader="underscore" w:pos="9639"/>
        </w:tabs>
        <w:spacing w:after="0" w:line="240" w:lineRule="auto"/>
        <w:jc w:val="both"/>
        <w:rPr>
          <w:rFonts w:cs="Calibri"/>
        </w:rPr>
      </w:pPr>
      <w:r w:rsidRPr="00677E5A">
        <w:rPr>
          <w:rFonts w:cs="Calibri"/>
        </w:rPr>
        <w:t>Se supera por primera vez la marca de 1,000,000 visitantes anuales</w:t>
      </w:r>
      <w:r>
        <w:rPr>
          <w:rFonts w:cs="Calibri"/>
        </w:rPr>
        <w:t>.</w:t>
      </w:r>
    </w:p>
    <w:p w14:paraId="1FF4EE0D" w14:textId="16DF8553" w:rsidR="00923B37" w:rsidRDefault="00923B37" w:rsidP="00923B37">
      <w:pPr>
        <w:tabs>
          <w:tab w:val="left" w:leader="underscore" w:pos="9639"/>
        </w:tabs>
        <w:spacing w:after="0" w:line="240" w:lineRule="auto"/>
        <w:jc w:val="both"/>
        <w:rPr>
          <w:rFonts w:cs="Calibri"/>
        </w:rPr>
      </w:pPr>
      <w:r w:rsidRPr="00677E5A">
        <w:rPr>
          <w:rFonts w:cs="Calibri"/>
        </w:rPr>
        <w:t>El Municipio autoriza el subsidio para el programa de Domingos con acceso sin costo al Parque Metropolitano</w:t>
      </w:r>
      <w:r>
        <w:rPr>
          <w:rFonts w:cs="Calibri"/>
        </w:rPr>
        <w:t>.</w:t>
      </w:r>
    </w:p>
    <w:p w14:paraId="180A7348" w14:textId="63F5587C" w:rsidR="004B0198" w:rsidRDefault="004B0198" w:rsidP="00923B37">
      <w:pPr>
        <w:tabs>
          <w:tab w:val="left" w:leader="underscore" w:pos="9639"/>
        </w:tabs>
        <w:spacing w:after="0" w:line="240" w:lineRule="auto"/>
        <w:jc w:val="both"/>
        <w:rPr>
          <w:rFonts w:cs="Calibri"/>
        </w:rPr>
      </w:pPr>
    </w:p>
    <w:p w14:paraId="6AD4A718" w14:textId="77777777" w:rsidR="004B0198" w:rsidRPr="00C96EF8" w:rsidRDefault="004B0198" w:rsidP="004B0198">
      <w:pPr>
        <w:pStyle w:val="Prrafodelista"/>
        <w:numPr>
          <w:ilvl w:val="0"/>
          <w:numId w:val="2"/>
        </w:numPr>
      </w:pPr>
      <w:r w:rsidRPr="00C96EF8">
        <w:t xml:space="preserve">2024 </w:t>
      </w:r>
    </w:p>
    <w:p w14:paraId="7B1B287E" w14:textId="77777777" w:rsidR="004B0198" w:rsidRPr="00C3222B" w:rsidRDefault="004B0198" w:rsidP="004B0198">
      <w:pPr>
        <w:pStyle w:val="Prrafodelista"/>
      </w:pPr>
      <w:r w:rsidRPr="00C96EF8">
        <w:t xml:space="preserve">El 08 de abril, se emite el nuevo Reglamento del Parque Ecológico Metropolitano de León, </w:t>
      </w:r>
      <w:proofErr w:type="spellStart"/>
      <w:r w:rsidRPr="00C96EF8">
        <w:t>Gto</w:t>
      </w:r>
      <w:proofErr w:type="spellEnd"/>
      <w:r w:rsidRPr="00C96EF8">
        <w:t>, “Eliseo Martínez Pérez”, publicado en el Periódico Oficial del Gobierno del Estado de Guanajuato</w:t>
      </w:r>
    </w:p>
    <w:p w14:paraId="56508A40" w14:textId="5BED75D0" w:rsidR="004B0198" w:rsidRDefault="004B0198" w:rsidP="00923B37">
      <w:pPr>
        <w:tabs>
          <w:tab w:val="left" w:leader="underscore" w:pos="9639"/>
        </w:tabs>
        <w:spacing w:after="0" w:line="240" w:lineRule="auto"/>
        <w:jc w:val="both"/>
        <w:rPr>
          <w:rFonts w:cs="Calibri"/>
        </w:rPr>
      </w:pPr>
    </w:p>
    <w:p w14:paraId="3FCD9922" w14:textId="4D788EC2" w:rsidR="004B0198" w:rsidRDefault="004B0198" w:rsidP="00923B37">
      <w:pPr>
        <w:tabs>
          <w:tab w:val="left" w:leader="underscore" w:pos="9639"/>
        </w:tabs>
        <w:spacing w:after="0" w:line="240" w:lineRule="auto"/>
        <w:jc w:val="both"/>
        <w:rPr>
          <w:rFonts w:cs="Calibri"/>
        </w:rPr>
      </w:pPr>
    </w:p>
    <w:p w14:paraId="2509876A" w14:textId="77777777" w:rsidR="004B0198" w:rsidRDefault="004B0198" w:rsidP="00923B37">
      <w:pPr>
        <w:tabs>
          <w:tab w:val="left" w:leader="underscore" w:pos="9639"/>
        </w:tabs>
        <w:spacing w:after="0" w:line="240" w:lineRule="auto"/>
        <w:jc w:val="both"/>
        <w:rPr>
          <w:rFonts w:cs="Calibri"/>
        </w:rPr>
      </w:pPr>
    </w:p>
    <w:p w14:paraId="125D3155" w14:textId="77777777" w:rsidR="00923B37" w:rsidRPr="00DD3E41" w:rsidRDefault="00923B37" w:rsidP="00923B37">
      <w:pPr>
        <w:tabs>
          <w:tab w:val="left" w:leader="underscore" w:pos="9639"/>
        </w:tabs>
        <w:spacing w:after="0" w:line="240" w:lineRule="auto"/>
        <w:jc w:val="both"/>
        <w:rPr>
          <w:rFonts w:cs="Calibri"/>
        </w:rPr>
      </w:pPr>
    </w:p>
    <w:p w14:paraId="1C3A3DBB" w14:textId="77777777" w:rsidR="00923B37" w:rsidRPr="00DD3E41" w:rsidRDefault="00923B37" w:rsidP="00923B37">
      <w:pPr>
        <w:tabs>
          <w:tab w:val="left" w:leader="underscore" w:pos="9639"/>
        </w:tabs>
        <w:spacing w:after="0" w:line="240" w:lineRule="auto"/>
        <w:jc w:val="both"/>
        <w:rPr>
          <w:rFonts w:cs="Calibri"/>
        </w:rPr>
      </w:pPr>
      <w:r w:rsidRPr="00DD3E41">
        <w:rPr>
          <w:rFonts w:cs="Calibri"/>
          <w:b/>
        </w:rPr>
        <w:t>b)</w:t>
      </w:r>
      <w:r w:rsidRPr="00DD3E41">
        <w:rPr>
          <w:rFonts w:cs="Calibri"/>
        </w:rPr>
        <w:t xml:space="preserve"> Principales cambios en su estructura (interna históricamente).</w:t>
      </w:r>
    </w:p>
    <w:p w14:paraId="08EF9A4C" w14:textId="40CAE023" w:rsidR="00923B37" w:rsidRDefault="00923B37" w:rsidP="00923B37">
      <w:pPr>
        <w:pStyle w:val="Ttulo2"/>
        <w:rPr>
          <w:rFonts w:ascii="Calibri" w:eastAsia="Calibri" w:hAnsi="Calibri" w:cs="Calibri"/>
          <w:color w:val="auto"/>
          <w:sz w:val="22"/>
          <w:szCs w:val="22"/>
        </w:rPr>
      </w:pPr>
      <w:r w:rsidRPr="00923B37">
        <w:rPr>
          <w:rFonts w:ascii="Calibri" w:eastAsia="Calibri" w:hAnsi="Calibri" w:cs="Calibri"/>
          <w:color w:val="auto"/>
          <w:sz w:val="22"/>
          <w:szCs w:val="22"/>
        </w:rPr>
        <w:lastRenderedPageBreak/>
        <w:t>En 1993 comenzó como fideicomiso y para el año 2003 cambió a Patronato.</w:t>
      </w:r>
    </w:p>
    <w:bookmarkEnd w:id="0"/>
    <w:p w14:paraId="7FC5E966" w14:textId="6D8AABC4" w:rsidR="007D1E76" w:rsidRDefault="007D1E76" w:rsidP="00CB41C4">
      <w:pPr>
        <w:tabs>
          <w:tab w:val="left" w:leader="underscore" w:pos="9639"/>
        </w:tabs>
        <w:spacing w:after="0" w:line="240" w:lineRule="auto"/>
        <w:jc w:val="both"/>
        <w:rPr>
          <w:rFonts w:cs="Calibri"/>
        </w:rPr>
      </w:pPr>
    </w:p>
    <w:p w14:paraId="6CF4676A" w14:textId="77777777" w:rsidR="00923B37" w:rsidRPr="00E74967" w:rsidRDefault="00923B37" w:rsidP="00CB41C4">
      <w:pPr>
        <w:tabs>
          <w:tab w:val="left" w:leader="underscore" w:pos="9639"/>
        </w:tabs>
        <w:spacing w:after="0" w:line="240" w:lineRule="auto"/>
        <w:jc w:val="both"/>
        <w:rPr>
          <w:rFonts w:cs="Calibri"/>
        </w:rPr>
      </w:pPr>
    </w:p>
    <w:p w14:paraId="6697FD8A" w14:textId="2040CD11" w:rsidR="007D1E76" w:rsidRPr="00DD3E41" w:rsidRDefault="007D1E76" w:rsidP="000C3365">
      <w:pPr>
        <w:pStyle w:val="Ttulo2"/>
        <w:rPr>
          <w:rFonts w:asciiTheme="minorHAnsi" w:hAnsiTheme="minorHAnsi" w:cstheme="minorHAnsi"/>
          <w:b/>
          <w:color w:val="auto"/>
          <w:sz w:val="22"/>
        </w:rPr>
      </w:pPr>
      <w:bookmarkStart w:id="2" w:name="_Toc508279622"/>
      <w:r w:rsidRPr="00DD3E41">
        <w:rPr>
          <w:rFonts w:asciiTheme="minorHAnsi" w:hAnsiTheme="minorHAnsi" w:cstheme="minorHAnsi"/>
          <w:b/>
          <w:color w:val="auto"/>
          <w:sz w:val="22"/>
        </w:rPr>
        <w:t xml:space="preserve">2. </w:t>
      </w:r>
      <w:r w:rsidR="004C1B06">
        <w:rPr>
          <w:rFonts w:asciiTheme="minorHAnsi" w:hAnsiTheme="minorHAnsi" w:cstheme="minorHAnsi"/>
          <w:b/>
          <w:color w:val="auto"/>
          <w:sz w:val="22"/>
        </w:rPr>
        <w:t>P</w:t>
      </w:r>
      <w:r w:rsidRPr="00DD3E41">
        <w:rPr>
          <w:rFonts w:asciiTheme="minorHAnsi" w:hAnsiTheme="minorHAnsi" w:cstheme="minorHAnsi"/>
          <w:b/>
          <w:color w:val="auto"/>
          <w:sz w:val="22"/>
        </w:rPr>
        <w:t>an</w:t>
      </w:r>
      <w:r w:rsidR="00E00323" w:rsidRPr="00DD3E41">
        <w:rPr>
          <w:rFonts w:asciiTheme="minorHAnsi" w:hAnsiTheme="minorHAnsi" w:cstheme="minorHAnsi"/>
          <w:b/>
          <w:color w:val="auto"/>
          <w:sz w:val="22"/>
        </w:rPr>
        <w:t>orama Económico y Financiero:</w:t>
      </w:r>
      <w:bookmarkEnd w:id="2"/>
    </w:p>
    <w:p w14:paraId="7B629A42" w14:textId="2BFD7789" w:rsidR="007D1E76" w:rsidRPr="00DD3E41" w:rsidRDefault="00677E5A" w:rsidP="00CB41C4">
      <w:pPr>
        <w:tabs>
          <w:tab w:val="left" w:leader="underscore" w:pos="9639"/>
        </w:tabs>
        <w:spacing w:after="0" w:line="240" w:lineRule="auto"/>
        <w:jc w:val="both"/>
        <w:rPr>
          <w:rFonts w:cs="Calibri"/>
        </w:rPr>
      </w:pPr>
      <w:r w:rsidRPr="007A6632">
        <w:rPr>
          <w:rFonts w:asciiTheme="minorHAnsi" w:hAnsiTheme="minorHAnsi" w:cstheme="minorHAnsi"/>
        </w:rPr>
        <w:t xml:space="preserve">El </w:t>
      </w:r>
      <w:r>
        <w:rPr>
          <w:rFonts w:asciiTheme="minorHAnsi" w:hAnsiTheme="minorHAnsi" w:cstheme="minorHAnsi"/>
        </w:rPr>
        <w:t>Municipio</w:t>
      </w:r>
      <w:r w:rsidRPr="007A6632">
        <w:rPr>
          <w:rFonts w:asciiTheme="minorHAnsi" w:hAnsiTheme="minorHAnsi" w:cstheme="minorHAnsi"/>
        </w:rPr>
        <w:t xml:space="preserve"> de León es un importante eje del desarrollo regional tanto para el Estado de Guanajuato como de las entidades vecinas. León, debido a su posición geográfica en el Bajío, se ha consolidado en décadas recientes como nodo de enlaces terrestres y como prestador de servicios regionales especializados en brindar a la región en los rubros financieros, comerciales, educativos, de salud y feriales.</w:t>
      </w:r>
    </w:p>
    <w:p w14:paraId="3285DC0B" w14:textId="1889E560" w:rsidR="007D1E76" w:rsidRDefault="00AB4B1F" w:rsidP="00CB41C4">
      <w:pPr>
        <w:tabs>
          <w:tab w:val="left" w:leader="underscore" w:pos="9639"/>
        </w:tabs>
        <w:spacing w:after="0" w:line="240" w:lineRule="auto"/>
        <w:jc w:val="both"/>
        <w:rPr>
          <w:rFonts w:cs="Calibri"/>
        </w:rPr>
      </w:pPr>
      <w:r w:rsidRPr="00C96EF8">
        <w:rPr>
          <w:rFonts w:cs="Calibri"/>
        </w:rPr>
        <w:t>El Parque cuenta con un subsidio municipal de $</w:t>
      </w:r>
      <w:r w:rsidR="00891450" w:rsidRPr="00C96EF8">
        <w:rPr>
          <w:rFonts w:cs="Calibri"/>
        </w:rPr>
        <w:t>1,</w:t>
      </w:r>
      <w:r w:rsidR="004B0198" w:rsidRPr="00C96EF8">
        <w:rPr>
          <w:rFonts w:cs="Calibri"/>
        </w:rPr>
        <w:t>498,002.90</w:t>
      </w:r>
      <w:r w:rsidRPr="00C96EF8">
        <w:rPr>
          <w:rFonts w:cs="Calibri"/>
        </w:rPr>
        <w:t xml:space="preserve"> </w:t>
      </w:r>
      <w:r w:rsidR="00891450" w:rsidRPr="00C96EF8">
        <w:rPr>
          <w:rFonts w:cs="Calibri"/>
        </w:rPr>
        <w:t>d</w:t>
      </w:r>
      <w:r w:rsidRPr="00C96EF8">
        <w:rPr>
          <w:rFonts w:cs="Calibri"/>
        </w:rPr>
        <w:t>e</w:t>
      </w:r>
      <w:r w:rsidR="00891450" w:rsidRPr="00C96EF8">
        <w:rPr>
          <w:rFonts w:cs="Calibri"/>
        </w:rPr>
        <w:t xml:space="preserve"> forma mensual e </w:t>
      </w:r>
      <w:r w:rsidRPr="00C96EF8">
        <w:rPr>
          <w:rFonts w:cs="Calibri"/>
        </w:rPr>
        <w:t>ingresos propios</w:t>
      </w:r>
      <w:r w:rsidR="00677E5A" w:rsidRPr="00C96EF8">
        <w:rPr>
          <w:rFonts w:cs="Calibri"/>
        </w:rPr>
        <w:t xml:space="preserve"> por distintos tipos de recaudación</w:t>
      </w:r>
      <w:r w:rsidRPr="00C96EF8">
        <w:rPr>
          <w:rFonts w:cs="Calibri"/>
        </w:rPr>
        <w:t>.</w:t>
      </w:r>
      <w:r w:rsidRPr="00DD3E41">
        <w:rPr>
          <w:rFonts w:cs="Calibri"/>
        </w:rPr>
        <w:t xml:space="preserve"> </w:t>
      </w:r>
    </w:p>
    <w:p w14:paraId="29F67394" w14:textId="4B4F6C48" w:rsidR="00A24805" w:rsidRDefault="00A24805" w:rsidP="00CB41C4">
      <w:pPr>
        <w:tabs>
          <w:tab w:val="left" w:leader="underscore" w:pos="9639"/>
        </w:tabs>
        <w:spacing w:after="0" w:line="240" w:lineRule="auto"/>
        <w:jc w:val="both"/>
        <w:rPr>
          <w:rFonts w:cs="Calibri"/>
        </w:rPr>
      </w:pPr>
    </w:p>
    <w:p w14:paraId="05DBE4FE" w14:textId="693B4A33" w:rsidR="008862CA" w:rsidRPr="00923B37" w:rsidRDefault="008862CA" w:rsidP="00923B37">
      <w:pPr>
        <w:tabs>
          <w:tab w:val="left" w:leader="underscore" w:pos="9639"/>
        </w:tabs>
        <w:spacing w:after="0" w:line="240" w:lineRule="auto"/>
        <w:jc w:val="both"/>
        <w:rPr>
          <w:rFonts w:cs="Calibri"/>
        </w:rPr>
      </w:pPr>
      <w:bookmarkStart w:id="3" w:name="_Toc508279624"/>
    </w:p>
    <w:p w14:paraId="08136E94" w14:textId="0DFE99C7" w:rsidR="007D1E76" w:rsidRPr="00DD3E41" w:rsidRDefault="00923B37" w:rsidP="000C3365">
      <w:pPr>
        <w:pStyle w:val="Ttulo2"/>
        <w:rPr>
          <w:rFonts w:asciiTheme="minorHAnsi" w:hAnsiTheme="minorHAnsi" w:cstheme="minorHAnsi"/>
          <w:b/>
          <w:color w:val="auto"/>
          <w:sz w:val="22"/>
        </w:rPr>
      </w:pPr>
      <w:r>
        <w:rPr>
          <w:rFonts w:asciiTheme="minorHAnsi" w:hAnsiTheme="minorHAnsi" w:cstheme="minorHAnsi"/>
          <w:b/>
          <w:color w:val="auto"/>
          <w:sz w:val="22"/>
        </w:rPr>
        <w:t>3</w:t>
      </w:r>
      <w:r w:rsidR="007D1E76" w:rsidRPr="00DD3E41">
        <w:rPr>
          <w:rFonts w:asciiTheme="minorHAnsi" w:hAnsiTheme="minorHAnsi" w:cstheme="minorHAnsi"/>
          <w:b/>
          <w:color w:val="auto"/>
          <w:sz w:val="22"/>
        </w:rPr>
        <w:t xml:space="preserve">. </w:t>
      </w:r>
      <w:r w:rsidR="00E00323" w:rsidRPr="00DD3E41">
        <w:rPr>
          <w:rFonts w:asciiTheme="minorHAnsi" w:hAnsiTheme="minorHAnsi" w:cstheme="minorHAnsi"/>
          <w:b/>
          <w:color w:val="auto"/>
          <w:sz w:val="22"/>
        </w:rPr>
        <w:t>Organización y Objeto Social:</w:t>
      </w:r>
      <w:bookmarkEnd w:id="3"/>
    </w:p>
    <w:p w14:paraId="6C85E52D" w14:textId="77777777" w:rsidR="007D1E76" w:rsidRPr="00DD3E41" w:rsidRDefault="007D1E76" w:rsidP="00CB41C4">
      <w:pPr>
        <w:tabs>
          <w:tab w:val="left" w:leader="underscore" w:pos="9639"/>
        </w:tabs>
        <w:spacing w:after="0" w:line="240" w:lineRule="auto"/>
        <w:jc w:val="both"/>
        <w:rPr>
          <w:rFonts w:cs="Calibri"/>
        </w:rPr>
      </w:pPr>
    </w:p>
    <w:p w14:paraId="67B5DF23" w14:textId="77777777" w:rsidR="007D1E76" w:rsidRPr="00DD3E41" w:rsidRDefault="007D1E76" w:rsidP="00CB41C4">
      <w:pPr>
        <w:tabs>
          <w:tab w:val="left" w:leader="underscore" w:pos="9639"/>
        </w:tabs>
        <w:spacing w:after="0" w:line="240" w:lineRule="auto"/>
        <w:jc w:val="both"/>
        <w:rPr>
          <w:rFonts w:cs="Calibri"/>
        </w:rPr>
      </w:pPr>
      <w:r w:rsidRPr="00DD3E41">
        <w:rPr>
          <w:rFonts w:cs="Calibri"/>
        </w:rPr>
        <w:t>Se informará sobre:</w:t>
      </w:r>
    </w:p>
    <w:p w14:paraId="473E4237" w14:textId="77777777" w:rsidR="007D1E76" w:rsidRPr="00DD3E41" w:rsidRDefault="007D1E76" w:rsidP="00CB41C4">
      <w:pPr>
        <w:tabs>
          <w:tab w:val="left" w:leader="underscore" w:pos="9639"/>
        </w:tabs>
        <w:spacing w:after="0" w:line="240" w:lineRule="auto"/>
        <w:jc w:val="both"/>
        <w:rPr>
          <w:rFonts w:cs="Calibri"/>
        </w:rPr>
      </w:pPr>
    </w:p>
    <w:p w14:paraId="3A7F2587" w14:textId="77777777" w:rsidR="007D1E76" w:rsidRPr="00DD3E41" w:rsidRDefault="007D1E76" w:rsidP="00CB41C4">
      <w:pPr>
        <w:tabs>
          <w:tab w:val="left" w:leader="underscore" w:pos="9639"/>
        </w:tabs>
        <w:spacing w:after="0" w:line="240" w:lineRule="auto"/>
        <w:jc w:val="both"/>
        <w:rPr>
          <w:rFonts w:cs="Calibri"/>
        </w:rPr>
      </w:pPr>
      <w:r w:rsidRPr="00DD3E41">
        <w:rPr>
          <w:rFonts w:cs="Calibri"/>
          <w:b/>
        </w:rPr>
        <w:t>a)</w:t>
      </w:r>
      <w:r w:rsidRPr="00DD3E41">
        <w:rPr>
          <w:rFonts w:cs="Calibri"/>
        </w:rPr>
        <w:t xml:space="preserve"> Objeto social.</w:t>
      </w:r>
    </w:p>
    <w:p w14:paraId="43C65E00" w14:textId="701ED49C" w:rsidR="007D1E76" w:rsidRDefault="00AB4B1F" w:rsidP="00CB41C4">
      <w:pPr>
        <w:tabs>
          <w:tab w:val="left" w:leader="underscore" w:pos="9639"/>
        </w:tabs>
        <w:spacing w:after="0" w:line="240" w:lineRule="auto"/>
        <w:jc w:val="both"/>
        <w:rPr>
          <w:rFonts w:cs="Calibri"/>
        </w:rPr>
      </w:pPr>
      <w:r w:rsidRPr="00DD3E41">
        <w:rPr>
          <w:rFonts w:cs="Calibri"/>
        </w:rPr>
        <w:t>Contribuir a la convivencia social mediante la realización de actividades deportivas y recreacionales.</w:t>
      </w:r>
    </w:p>
    <w:p w14:paraId="69CF60D3" w14:textId="77777777" w:rsidR="00677E5A" w:rsidRPr="00DD3E41" w:rsidRDefault="00677E5A" w:rsidP="00CB41C4">
      <w:pPr>
        <w:tabs>
          <w:tab w:val="left" w:leader="underscore" w:pos="9639"/>
        </w:tabs>
        <w:spacing w:after="0" w:line="240" w:lineRule="auto"/>
        <w:jc w:val="both"/>
        <w:rPr>
          <w:rFonts w:cs="Calibri"/>
        </w:rPr>
      </w:pPr>
    </w:p>
    <w:p w14:paraId="2C110A08" w14:textId="77777777" w:rsidR="007D1E76" w:rsidRPr="00DD3E41" w:rsidRDefault="007D1E76" w:rsidP="00CB41C4">
      <w:pPr>
        <w:tabs>
          <w:tab w:val="left" w:leader="underscore" w:pos="9639"/>
        </w:tabs>
        <w:spacing w:after="0" w:line="240" w:lineRule="auto"/>
        <w:jc w:val="both"/>
        <w:rPr>
          <w:rFonts w:cs="Calibri"/>
        </w:rPr>
      </w:pPr>
      <w:r w:rsidRPr="00DD3E41">
        <w:rPr>
          <w:rFonts w:cs="Calibri"/>
          <w:b/>
        </w:rPr>
        <w:t>b)</w:t>
      </w:r>
      <w:r w:rsidRPr="00DD3E41">
        <w:rPr>
          <w:rFonts w:cs="Calibri"/>
        </w:rPr>
        <w:t xml:space="preserve"> Principal actividad.</w:t>
      </w:r>
    </w:p>
    <w:p w14:paraId="1FD083A7" w14:textId="77777777" w:rsidR="00AB4B1F" w:rsidRPr="00DD3E41" w:rsidRDefault="00AB4B1F" w:rsidP="00AB4B1F">
      <w:pPr>
        <w:tabs>
          <w:tab w:val="left" w:leader="underscore" w:pos="9639"/>
        </w:tabs>
        <w:spacing w:after="0" w:line="240" w:lineRule="auto"/>
        <w:jc w:val="both"/>
        <w:rPr>
          <w:rFonts w:cs="Calibri"/>
        </w:rPr>
      </w:pPr>
      <w:r w:rsidRPr="00DD3E41">
        <w:rPr>
          <w:rFonts w:cs="Calibri"/>
        </w:rPr>
        <w:t>Espacio Ecológico, educacional y recreativo.</w:t>
      </w:r>
    </w:p>
    <w:p w14:paraId="15F90EEC" w14:textId="77777777" w:rsidR="00CB41C4" w:rsidRPr="00DD3E41" w:rsidRDefault="00CB41C4" w:rsidP="00CB41C4">
      <w:pPr>
        <w:tabs>
          <w:tab w:val="left" w:leader="underscore" w:pos="9639"/>
        </w:tabs>
        <w:spacing w:after="0" w:line="240" w:lineRule="auto"/>
        <w:jc w:val="both"/>
        <w:rPr>
          <w:rFonts w:cs="Calibri"/>
        </w:rPr>
      </w:pPr>
    </w:p>
    <w:p w14:paraId="2D21CE61" w14:textId="33420E58" w:rsidR="007D1E76" w:rsidRPr="00DD3E41" w:rsidRDefault="007D1E76" w:rsidP="00CB41C4">
      <w:pPr>
        <w:tabs>
          <w:tab w:val="left" w:leader="underscore" w:pos="9639"/>
        </w:tabs>
        <w:spacing w:after="0" w:line="240" w:lineRule="auto"/>
        <w:jc w:val="both"/>
        <w:rPr>
          <w:rFonts w:cs="Calibri"/>
        </w:rPr>
      </w:pPr>
      <w:r w:rsidRPr="00DD3E41">
        <w:rPr>
          <w:rFonts w:cs="Calibri"/>
          <w:b/>
        </w:rPr>
        <w:t>c)</w:t>
      </w:r>
      <w:r w:rsidRPr="00DD3E41">
        <w:rPr>
          <w:rFonts w:cs="Calibri"/>
        </w:rPr>
        <w:t xml:space="preserve"> Ejercicio fiscal.</w:t>
      </w:r>
    </w:p>
    <w:p w14:paraId="16703E54" w14:textId="68C6441A" w:rsidR="007D1E76" w:rsidRDefault="00677E5A" w:rsidP="00CB41C4">
      <w:pPr>
        <w:tabs>
          <w:tab w:val="left" w:leader="underscore" w:pos="9639"/>
        </w:tabs>
        <w:spacing w:after="0" w:line="240" w:lineRule="auto"/>
        <w:jc w:val="both"/>
        <w:rPr>
          <w:rFonts w:cs="Calibri"/>
        </w:rPr>
      </w:pPr>
      <w:r w:rsidRPr="00677E5A">
        <w:rPr>
          <w:rFonts w:cs="Calibri"/>
        </w:rPr>
        <w:t>La información que se incluye en estas notas corresponde al periodo comprendido del 1 de enero al 3</w:t>
      </w:r>
      <w:r w:rsidR="004B0198">
        <w:rPr>
          <w:rFonts w:cs="Calibri"/>
        </w:rPr>
        <w:t xml:space="preserve">0 de </w:t>
      </w:r>
      <w:r w:rsidR="004B0198" w:rsidRPr="00C96EF8">
        <w:rPr>
          <w:rFonts w:cs="Calibri"/>
        </w:rPr>
        <w:t>S</w:t>
      </w:r>
      <w:r w:rsidRPr="00C96EF8">
        <w:rPr>
          <w:rFonts w:cs="Calibri"/>
        </w:rPr>
        <w:t xml:space="preserve"> de 202</w:t>
      </w:r>
      <w:r w:rsidR="00923B37" w:rsidRPr="00C96EF8">
        <w:rPr>
          <w:rFonts w:cs="Calibri"/>
        </w:rPr>
        <w:t>4</w:t>
      </w:r>
      <w:r w:rsidRPr="00C96EF8">
        <w:rPr>
          <w:rFonts w:cs="Calibri"/>
        </w:rPr>
        <w:t xml:space="preserve"> y del 1</w:t>
      </w:r>
      <w:r w:rsidRPr="00677E5A">
        <w:rPr>
          <w:rFonts w:cs="Calibri"/>
        </w:rPr>
        <w:t xml:space="preserve"> de enero al 31 de dic</w:t>
      </w:r>
      <w:r>
        <w:rPr>
          <w:rFonts w:cs="Calibri"/>
        </w:rPr>
        <w:t>iembre de 202</w:t>
      </w:r>
      <w:r w:rsidR="00923B37">
        <w:rPr>
          <w:rFonts w:cs="Calibri"/>
        </w:rPr>
        <w:t>3</w:t>
      </w:r>
      <w:r>
        <w:rPr>
          <w:rFonts w:cs="Calibri"/>
        </w:rPr>
        <w:t>, respectivamente</w:t>
      </w:r>
      <w:r w:rsidR="00AB4B1F" w:rsidRPr="00DD3E41">
        <w:rPr>
          <w:rFonts w:cs="Calibri"/>
        </w:rPr>
        <w:t>.</w:t>
      </w:r>
    </w:p>
    <w:p w14:paraId="632262B4" w14:textId="77777777" w:rsidR="00AB4B1F" w:rsidRPr="00E74967" w:rsidRDefault="00AB4B1F"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w:t>
      </w:r>
      <w:r w:rsidRPr="00DB728A">
        <w:rPr>
          <w:rFonts w:cs="Calibri"/>
        </w:rPr>
        <w:t>la S.H.C.P., ejemplos</w:t>
      </w:r>
      <w:r w:rsidRPr="00E74967">
        <w:rPr>
          <w:rFonts w:cs="Calibri"/>
        </w:rPr>
        <w:t>: S.C., S.A., Personas morales sin fines de lucro, etc.).</w:t>
      </w:r>
    </w:p>
    <w:p w14:paraId="6BB18F48" w14:textId="77777777" w:rsidR="005B25EA" w:rsidRDefault="005B25EA" w:rsidP="005B25EA">
      <w:pPr>
        <w:tabs>
          <w:tab w:val="left" w:leader="underscore" w:pos="9639"/>
        </w:tabs>
        <w:spacing w:after="0" w:line="240" w:lineRule="auto"/>
        <w:jc w:val="both"/>
        <w:rPr>
          <w:rFonts w:cs="Calibri"/>
        </w:rPr>
      </w:pPr>
      <w:r w:rsidRPr="00E43BA7">
        <w:rPr>
          <w:rFonts w:cs="Calibri"/>
        </w:rPr>
        <w:t>Personas Morales con fines no lucrativos</w:t>
      </w:r>
      <w:r>
        <w:rPr>
          <w:rFonts w:cs="Calibri"/>
        </w:rPr>
        <w:t>.</w:t>
      </w:r>
    </w:p>
    <w:p w14:paraId="53233768" w14:textId="22EC3B8A" w:rsidR="007169B1" w:rsidRPr="00E74967" w:rsidRDefault="007169B1" w:rsidP="00CB41C4">
      <w:pPr>
        <w:tabs>
          <w:tab w:val="left" w:leader="underscore" w:pos="9639"/>
        </w:tabs>
        <w:spacing w:after="0" w:line="240" w:lineRule="auto"/>
        <w:jc w:val="both"/>
        <w:rPr>
          <w:rFonts w:cs="Calibri"/>
        </w:rPr>
      </w:pPr>
    </w:p>
    <w:p w14:paraId="086DEED0" w14:textId="20D7BFC1" w:rsidR="005B25EA" w:rsidRPr="00E21E01" w:rsidRDefault="007D1E76" w:rsidP="005B25EA">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p>
    <w:p w14:paraId="53E84953" w14:textId="77777777" w:rsidR="00677E5A" w:rsidRPr="00677E5A" w:rsidRDefault="00677E5A" w:rsidP="00677E5A">
      <w:pPr>
        <w:tabs>
          <w:tab w:val="left" w:leader="underscore" w:pos="9639"/>
        </w:tabs>
        <w:spacing w:after="0" w:line="240" w:lineRule="auto"/>
        <w:jc w:val="both"/>
        <w:rPr>
          <w:rFonts w:cs="Calibri"/>
        </w:rPr>
      </w:pPr>
      <w:r w:rsidRPr="00677E5A">
        <w:rPr>
          <w:rFonts w:cs="Calibri"/>
        </w:rPr>
        <w:t>Las Entidades Federativas, los Municipios, los órganos constitucionales autónomos y las entidades de la administración pública paraestatal, tienen las consideraciones fiscales siguientes:</w:t>
      </w:r>
    </w:p>
    <w:p w14:paraId="1151DB35" w14:textId="77777777" w:rsidR="00677E5A" w:rsidRPr="00677E5A" w:rsidRDefault="00677E5A" w:rsidP="00677E5A">
      <w:pPr>
        <w:tabs>
          <w:tab w:val="left" w:leader="underscore" w:pos="9639"/>
        </w:tabs>
        <w:spacing w:after="0" w:line="240" w:lineRule="auto"/>
        <w:jc w:val="both"/>
        <w:rPr>
          <w:rFonts w:cs="Calibri"/>
        </w:rPr>
      </w:pPr>
    </w:p>
    <w:p w14:paraId="0C5342DE" w14:textId="47429061" w:rsidR="00677E5A" w:rsidRPr="00C96EF8" w:rsidRDefault="00677E5A" w:rsidP="007169B1">
      <w:pPr>
        <w:pStyle w:val="Prrafodelista"/>
        <w:numPr>
          <w:ilvl w:val="0"/>
          <w:numId w:val="3"/>
        </w:numPr>
        <w:tabs>
          <w:tab w:val="left" w:leader="underscore" w:pos="9639"/>
        </w:tabs>
        <w:spacing w:after="0" w:line="240" w:lineRule="auto"/>
        <w:jc w:val="both"/>
        <w:rPr>
          <w:rFonts w:cs="Calibri"/>
        </w:rPr>
      </w:pPr>
      <w:r w:rsidRPr="00C96EF8">
        <w:rPr>
          <w:rFonts w:cs="Calibri"/>
        </w:rPr>
        <w:t>Persona moral, no contribuyente;</w:t>
      </w:r>
    </w:p>
    <w:p w14:paraId="7139047B" w14:textId="3A04E9BD" w:rsidR="00677E5A" w:rsidRPr="00C96EF8" w:rsidRDefault="00677E5A" w:rsidP="007169B1">
      <w:pPr>
        <w:pStyle w:val="Prrafodelista"/>
        <w:numPr>
          <w:ilvl w:val="0"/>
          <w:numId w:val="3"/>
        </w:numPr>
        <w:tabs>
          <w:tab w:val="left" w:leader="underscore" w:pos="9639"/>
        </w:tabs>
        <w:spacing w:after="0" w:line="240" w:lineRule="auto"/>
        <w:jc w:val="both"/>
        <w:rPr>
          <w:rFonts w:cs="Calibri"/>
        </w:rPr>
      </w:pPr>
      <w:r w:rsidRPr="00C96EF8">
        <w:rPr>
          <w:rFonts w:cs="Calibri"/>
        </w:rPr>
        <w:t>Retenedor de Impuesto Sobre la Renta (ISR);</w:t>
      </w:r>
    </w:p>
    <w:p w14:paraId="336DC79D" w14:textId="6179932D" w:rsidR="00677E5A" w:rsidRPr="00C96EF8" w:rsidRDefault="00677E5A" w:rsidP="007169B1">
      <w:pPr>
        <w:pStyle w:val="Prrafodelista"/>
        <w:numPr>
          <w:ilvl w:val="0"/>
          <w:numId w:val="3"/>
        </w:numPr>
        <w:tabs>
          <w:tab w:val="left" w:leader="underscore" w:pos="9639"/>
        </w:tabs>
        <w:spacing w:after="0" w:line="240" w:lineRule="auto"/>
        <w:jc w:val="both"/>
        <w:rPr>
          <w:rFonts w:cs="Calibri"/>
        </w:rPr>
      </w:pPr>
      <w:r w:rsidRPr="00C96EF8">
        <w:rPr>
          <w:rFonts w:cs="Calibri"/>
        </w:rPr>
        <w:t>Contribuyente y Retenedor del Impuesto Cedular.</w:t>
      </w:r>
    </w:p>
    <w:p w14:paraId="41DE97C6" w14:textId="4A8C3441" w:rsidR="00677E5A" w:rsidRPr="00677E5A" w:rsidRDefault="00677E5A" w:rsidP="00677E5A">
      <w:pPr>
        <w:tabs>
          <w:tab w:val="left" w:leader="underscore" w:pos="9639"/>
        </w:tabs>
        <w:spacing w:after="0" w:line="240" w:lineRule="auto"/>
        <w:jc w:val="both"/>
        <w:rPr>
          <w:rFonts w:cs="Calibri"/>
        </w:rPr>
      </w:pPr>
    </w:p>
    <w:p w14:paraId="1371621F" w14:textId="420D7488" w:rsidR="00677E5A" w:rsidRPr="00677E5A" w:rsidRDefault="00677E5A" w:rsidP="00677E5A">
      <w:pPr>
        <w:tabs>
          <w:tab w:val="left" w:leader="underscore" w:pos="9639"/>
        </w:tabs>
        <w:spacing w:after="0" w:line="240" w:lineRule="auto"/>
        <w:jc w:val="both"/>
        <w:rPr>
          <w:rFonts w:cs="Calibri"/>
        </w:rPr>
      </w:pPr>
      <w:r w:rsidRPr="00677E5A">
        <w:rPr>
          <w:rFonts w:cs="Calibri"/>
        </w:rPr>
        <w:t>Las obligaciones fiscales</w:t>
      </w:r>
      <w:r w:rsidR="007169B1">
        <w:rPr>
          <w:rFonts w:cs="Calibri"/>
        </w:rPr>
        <w:t xml:space="preserve"> del Parque Ecológico Metropolitano</w:t>
      </w:r>
      <w:r w:rsidRPr="00677E5A">
        <w:rPr>
          <w:rFonts w:cs="Calibri"/>
        </w:rPr>
        <w:t xml:space="preserve"> se determinan conforme al objetivo y funciones asignadas en la ley que les da origen o en el decreto de su creación.</w:t>
      </w:r>
    </w:p>
    <w:p w14:paraId="7FCDF4E8" w14:textId="77777777" w:rsidR="00677E5A" w:rsidRPr="00677E5A" w:rsidRDefault="00677E5A" w:rsidP="00677E5A">
      <w:pPr>
        <w:tabs>
          <w:tab w:val="left" w:leader="underscore" w:pos="9639"/>
        </w:tabs>
        <w:spacing w:after="0" w:line="240" w:lineRule="auto"/>
        <w:jc w:val="both"/>
        <w:rPr>
          <w:rFonts w:cs="Calibri"/>
        </w:rPr>
      </w:pPr>
    </w:p>
    <w:p w14:paraId="6268EF76" w14:textId="20657412" w:rsidR="007D1E76" w:rsidRDefault="00677E5A" w:rsidP="00677E5A">
      <w:pPr>
        <w:tabs>
          <w:tab w:val="left" w:leader="underscore" w:pos="9639"/>
        </w:tabs>
        <w:spacing w:after="0" w:line="240" w:lineRule="auto"/>
        <w:jc w:val="both"/>
        <w:rPr>
          <w:rFonts w:cs="Calibri"/>
        </w:rPr>
      </w:pPr>
      <w:r w:rsidRPr="00677E5A">
        <w:rPr>
          <w:rFonts w:cs="Calibri"/>
        </w:rPr>
        <w:t>No efectúan retenciones del impuesto al valor agregado, de conformidad con el artículo 3o, tercer párrafo, de la Ley del Impuesto al Valor Agregado (LIVA).</w:t>
      </w:r>
    </w:p>
    <w:p w14:paraId="6F228C1C" w14:textId="77777777" w:rsidR="007169B1" w:rsidRPr="00E74967" w:rsidRDefault="007169B1" w:rsidP="00677E5A">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5085FA9" w14:textId="065E6828" w:rsidR="0054701E" w:rsidRDefault="0054701E" w:rsidP="00CB41C4">
      <w:pPr>
        <w:tabs>
          <w:tab w:val="left" w:leader="underscore" w:pos="9639"/>
        </w:tabs>
        <w:spacing w:after="0" w:line="240" w:lineRule="auto"/>
        <w:jc w:val="both"/>
        <w:rPr>
          <w:rFonts w:cs="Calibri"/>
        </w:rPr>
      </w:pPr>
    </w:p>
    <w:p w14:paraId="6FAABD02" w14:textId="60D4DE0B" w:rsidR="007169B1" w:rsidRPr="007169B1" w:rsidRDefault="007169B1" w:rsidP="007169B1">
      <w:pPr>
        <w:tabs>
          <w:tab w:val="left" w:leader="underscore" w:pos="9639"/>
        </w:tabs>
        <w:spacing w:after="0" w:line="240" w:lineRule="auto"/>
        <w:jc w:val="both"/>
        <w:rPr>
          <w:rFonts w:cs="Calibri"/>
        </w:rPr>
      </w:pPr>
      <w:r w:rsidRPr="007169B1">
        <w:rPr>
          <w:rFonts w:cs="Calibri"/>
        </w:rPr>
        <w:t xml:space="preserve">A fin de dar cumplimiento a sus funciones y alcanzar los objetivos, el </w:t>
      </w:r>
      <w:r>
        <w:rPr>
          <w:rFonts w:cs="Calibri"/>
        </w:rPr>
        <w:t>Patronato del Parque</w:t>
      </w:r>
      <w:r w:rsidRPr="007169B1">
        <w:rPr>
          <w:rFonts w:cs="Calibri"/>
        </w:rPr>
        <w:t xml:space="preserve"> cuenta con tres órganos de gobierno rectores:</w:t>
      </w:r>
    </w:p>
    <w:p w14:paraId="0421DD5B" w14:textId="77777777" w:rsidR="007169B1" w:rsidRPr="007169B1" w:rsidRDefault="007169B1" w:rsidP="007169B1">
      <w:pPr>
        <w:tabs>
          <w:tab w:val="left" w:leader="underscore" w:pos="9639"/>
        </w:tabs>
        <w:spacing w:after="0" w:line="240" w:lineRule="auto"/>
        <w:jc w:val="both"/>
        <w:rPr>
          <w:rFonts w:cs="Calibri"/>
        </w:rPr>
      </w:pPr>
    </w:p>
    <w:p w14:paraId="2235A7A1" w14:textId="752F6E9C" w:rsidR="007169B1" w:rsidRPr="00C96EF8" w:rsidRDefault="007169B1" w:rsidP="007169B1">
      <w:pPr>
        <w:pStyle w:val="Prrafodelista"/>
        <w:numPr>
          <w:ilvl w:val="0"/>
          <w:numId w:val="4"/>
        </w:numPr>
        <w:tabs>
          <w:tab w:val="left" w:leader="underscore" w:pos="9639"/>
        </w:tabs>
        <w:spacing w:after="0" w:line="240" w:lineRule="auto"/>
        <w:jc w:val="both"/>
        <w:rPr>
          <w:rFonts w:cs="Calibri"/>
        </w:rPr>
      </w:pPr>
      <w:r w:rsidRPr="00C96EF8">
        <w:rPr>
          <w:rFonts w:cs="Calibri"/>
        </w:rPr>
        <w:t>El Consejo Directivo;</w:t>
      </w:r>
    </w:p>
    <w:p w14:paraId="7F6C8E78" w14:textId="092CBBA2" w:rsidR="007169B1" w:rsidRPr="00C96EF8" w:rsidRDefault="007169B1" w:rsidP="007169B1">
      <w:pPr>
        <w:pStyle w:val="Prrafodelista"/>
        <w:numPr>
          <w:ilvl w:val="0"/>
          <w:numId w:val="4"/>
        </w:numPr>
        <w:tabs>
          <w:tab w:val="left" w:leader="underscore" w:pos="9639"/>
        </w:tabs>
        <w:spacing w:after="0" w:line="240" w:lineRule="auto"/>
        <w:jc w:val="both"/>
        <w:rPr>
          <w:rFonts w:cs="Calibri"/>
        </w:rPr>
      </w:pPr>
      <w:r w:rsidRPr="00C96EF8">
        <w:rPr>
          <w:rFonts w:cs="Calibri"/>
        </w:rPr>
        <w:t>El Órgano Interno de Control;</w:t>
      </w:r>
    </w:p>
    <w:p w14:paraId="6ECE7463" w14:textId="4223F018" w:rsidR="007169B1" w:rsidRPr="00C96EF8" w:rsidRDefault="007169B1" w:rsidP="007169B1">
      <w:pPr>
        <w:pStyle w:val="Prrafodelista"/>
        <w:numPr>
          <w:ilvl w:val="0"/>
          <w:numId w:val="4"/>
        </w:numPr>
        <w:tabs>
          <w:tab w:val="left" w:leader="underscore" w:pos="9639"/>
        </w:tabs>
        <w:spacing w:after="0" w:line="240" w:lineRule="auto"/>
        <w:jc w:val="both"/>
        <w:rPr>
          <w:rFonts w:cs="Calibri"/>
        </w:rPr>
      </w:pPr>
      <w:r w:rsidRPr="00C96EF8">
        <w:rPr>
          <w:rFonts w:cs="Calibri"/>
        </w:rPr>
        <w:t xml:space="preserve">El </w:t>
      </w:r>
      <w:proofErr w:type="gramStart"/>
      <w:r w:rsidRPr="00C96EF8">
        <w:rPr>
          <w:rFonts w:cs="Calibri"/>
        </w:rPr>
        <w:t>Director</w:t>
      </w:r>
      <w:r w:rsidR="00C96EF8">
        <w:rPr>
          <w:rFonts w:cs="Calibri"/>
        </w:rPr>
        <w:t xml:space="preserve"> </w:t>
      </w:r>
      <w:r w:rsidRPr="00C96EF8">
        <w:rPr>
          <w:rFonts w:cs="Calibri"/>
        </w:rPr>
        <w:t>General</w:t>
      </w:r>
      <w:proofErr w:type="gramEnd"/>
      <w:r w:rsidRPr="00C96EF8">
        <w:rPr>
          <w:rFonts w:cs="Calibri"/>
        </w:rPr>
        <w:t>.</w:t>
      </w:r>
    </w:p>
    <w:p w14:paraId="75F33799" w14:textId="4AD491DB" w:rsidR="00CB41C4" w:rsidRDefault="00CB41C4" w:rsidP="00CB41C4">
      <w:pPr>
        <w:tabs>
          <w:tab w:val="left" w:leader="underscore" w:pos="9639"/>
        </w:tabs>
        <w:spacing w:after="0" w:line="240" w:lineRule="auto"/>
        <w:jc w:val="both"/>
        <w:rPr>
          <w:rFonts w:cs="Calibri"/>
        </w:rPr>
      </w:pPr>
    </w:p>
    <w:p w14:paraId="57EC6CDA" w14:textId="2CEE94AE" w:rsidR="007169B1" w:rsidRDefault="007169B1" w:rsidP="00CB41C4">
      <w:pPr>
        <w:tabs>
          <w:tab w:val="left" w:leader="underscore" w:pos="9639"/>
        </w:tabs>
        <w:spacing w:after="0" w:line="240" w:lineRule="auto"/>
        <w:jc w:val="both"/>
        <w:rPr>
          <w:rFonts w:cs="Calibri"/>
        </w:rPr>
      </w:pPr>
      <w:r>
        <w:rPr>
          <w:rFonts w:cs="Calibri"/>
        </w:rPr>
        <w:t>El Patronato del Parque Ecológico Metropolitano de León cuenta con cuatro Gerencias: Administración y Finanzas, Promoción y Fomento, Conservación y Protección Ambiental y Operaciones y Vigilancia Ambiental.</w:t>
      </w:r>
    </w:p>
    <w:p w14:paraId="57CA96F9" w14:textId="3006F5F4" w:rsidR="007169B1" w:rsidRDefault="007169B1" w:rsidP="00CB41C4">
      <w:pPr>
        <w:tabs>
          <w:tab w:val="left" w:leader="underscore" w:pos="9639"/>
        </w:tabs>
        <w:spacing w:after="0" w:line="240" w:lineRule="auto"/>
        <w:jc w:val="both"/>
        <w:rPr>
          <w:rFonts w:cs="Calibri"/>
        </w:rPr>
      </w:pPr>
    </w:p>
    <w:p w14:paraId="08C94FEA" w14:textId="0CEE7D2B" w:rsidR="007169B1" w:rsidRPr="00E74967" w:rsidRDefault="007169B1" w:rsidP="00CB41C4">
      <w:pPr>
        <w:tabs>
          <w:tab w:val="left" w:leader="underscore" w:pos="9639"/>
        </w:tabs>
        <w:spacing w:after="0" w:line="240" w:lineRule="auto"/>
        <w:jc w:val="both"/>
        <w:rPr>
          <w:rFonts w:cs="Calibri"/>
        </w:rPr>
      </w:pPr>
      <w:r w:rsidRPr="007169B1">
        <w:rPr>
          <w:rFonts w:cs="Calibri"/>
          <w:noProof/>
          <w:lang w:eastAsia="es-MX"/>
        </w:rPr>
        <w:drawing>
          <wp:inline distT="0" distB="0" distL="0" distR="0" wp14:anchorId="64EE6AB0" wp14:editId="38A5F87B">
            <wp:extent cx="6151880" cy="3408045"/>
            <wp:effectExtent l="0" t="0" r="127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408045"/>
                    </a:xfrm>
                    <a:prstGeom prst="rect">
                      <a:avLst/>
                    </a:prstGeom>
                  </pic:spPr>
                </pic:pic>
              </a:graphicData>
            </a:graphic>
          </wp:inline>
        </w:drawing>
      </w:r>
    </w:p>
    <w:p w14:paraId="404DF9B5" w14:textId="77777777" w:rsidR="00923B37" w:rsidRDefault="00923B37" w:rsidP="00CB41C4">
      <w:pPr>
        <w:tabs>
          <w:tab w:val="left" w:leader="underscore" w:pos="9639"/>
        </w:tabs>
        <w:spacing w:after="0" w:line="240" w:lineRule="auto"/>
        <w:jc w:val="both"/>
        <w:rPr>
          <w:rFonts w:cs="Calibri"/>
          <w:b/>
        </w:rPr>
      </w:pPr>
    </w:p>
    <w:p w14:paraId="19CEE146" w14:textId="65887DC6"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275DFB3" w14:textId="77777777" w:rsidR="0032743F" w:rsidRDefault="0032743F" w:rsidP="00783325">
      <w:pPr>
        <w:tabs>
          <w:tab w:val="left" w:leader="underscore" w:pos="9639"/>
        </w:tabs>
        <w:spacing w:after="0" w:line="240" w:lineRule="auto"/>
        <w:jc w:val="both"/>
        <w:rPr>
          <w:rFonts w:cs="Calibri"/>
        </w:rPr>
      </w:pPr>
    </w:p>
    <w:p w14:paraId="40110E82" w14:textId="4DEC6B77" w:rsidR="00783325" w:rsidRDefault="0032743F" w:rsidP="00783325">
      <w:pPr>
        <w:tabs>
          <w:tab w:val="left" w:leader="underscore" w:pos="9639"/>
        </w:tabs>
        <w:spacing w:after="0" w:line="240" w:lineRule="auto"/>
        <w:jc w:val="both"/>
        <w:rPr>
          <w:rFonts w:cs="Calibri"/>
        </w:rPr>
      </w:pPr>
      <w:r>
        <w:rPr>
          <w:rFonts w:cs="Calibri"/>
        </w:rPr>
        <w:t>Fideicomiso de Inversión para la administración de fondo de ahorro firmado el 16 de enero del 2023 integrado de la siguiente forma:</w:t>
      </w:r>
    </w:p>
    <w:p w14:paraId="01E38708" w14:textId="16B977E6" w:rsidR="0032743F" w:rsidRDefault="0032743F" w:rsidP="00783325">
      <w:pPr>
        <w:tabs>
          <w:tab w:val="left" w:leader="underscore" w:pos="9639"/>
        </w:tabs>
        <w:spacing w:after="0" w:line="240" w:lineRule="auto"/>
        <w:jc w:val="both"/>
        <w:rPr>
          <w:rFonts w:cs="Calibri"/>
        </w:rPr>
      </w:pPr>
    </w:p>
    <w:p w14:paraId="64397A1C" w14:textId="7310297C" w:rsidR="0032743F" w:rsidRDefault="0032743F" w:rsidP="0032743F">
      <w:pPr>
        <w:pStyle w:val="Prrafodelista"/>
        <w:numPr>
          <w:ilvl w:val="0"/>
          <w:numId w:val="5"/>
        </w:numPr>
        <w:tabs>
          <w:tab w:val="left" w:leader="underscore" w:pos="9639"/>
        </w:tabs>
        <w:spacing w:after="0" w:line="240" w:lineRule="auto"/>
        <w:jc w:val="both"/>
        <w:rPr>
          <w:rFonts w:cs="Calibri"/>
        </w:rPr>
      </w:pPr>
      <w:r>
        <w:rPr>
          <w:rFonts w:cs="Calibri"/>
        </w:rPr>
        <w:t xml:space="preserve">Fideicomitentes: Patronato del Parque Ecológico Metropolitano de León, </w:t>
      </w:r>
      <w:proofErr w:type="spellStart"/>
      <w:r>
        <w:rPr>
          <w:rFonts w:cs="Calibri"/>
        </w:rPr>
        <w:t>Gto</w:t>
      </w:r>
      <w:proofErr w:type="spellEnd"/>
      <w:r>
        <w:rPr>
          <w:rFonts w:cs="Calibri"/>
        </w:rPr>
        <w:t>.</w:t>
      </w:r>
    </w:p>
    <w:p w14:paraId="4E146BDD" w14:textId="3A53998A" w:rsidR="0032743F" w:rsidRPr="0032743F" w:rsidRDefault="0032743F" w:rsidP="0032743F">
      <w:pPr>
        <w:pStyle w:val="Prrafodelista"/>
        <w:numPr>
          <w:ilvl w:val="0"/>
          <w:numId w:val="5"/>
        </w:numPr>
        <w:tabs>
          <w:tab w:val="left" w:leader="underscore" w:pos="9639"/>
        </w:tabs>
        <w:spacing w:after="0" w:line="240" w:lineRule="auto"/>
        <w:jc w:val="both"/>
        <w:rPr>
          <w:rFonts w:cs="Calibri"/>
        </w:rPr>
      </w:pPr>
      <w:r>
        <w:rPr>
          <w:rFonts w:cs="Calibri"/>
        </w:rPr>
        <w:t>Fiduciario: Banco del Bajío, S.A. Institución de Banca Múltiple</w:t>
      </w:r>
    </w:p>
    <w:p w14:paraId="13E898D8" w14:textId="675A8158" w:rsidR="0032743F" w:rsidRDefault="0032743F" w:rsidP="000C3365">
      <w:pPr>
        <w:pStyle w:val="Ttulo2"/>
        <w:rPr>
          <w:rFonts w:asciiTheme="minorHAnsi" w:hAnsiTheme="minorHAnsi" w:cstheme="minorHAnsi"/>
          <w:b/>
          <w:color w:val="auto"/>
          <w:sz w:val="22"/>
        </w:rPr>
      </w:pPr>
      <w:bookmarkStart w:id="4" w:name="_Toc508279625"/>
    </w:p>
    <w:p w14:paraId="1620E982" w14:textId="62BD5DDB" w:rsidR="0032743F" w:rsidRDefault="0032743F" w:rsidP="0032743F">
      <w:pPr>
        <w:spacing w:after="0"/>
      </w:pPr>
    </w:p>
    <w:p w14:paraId="15C6955E" w14:textId="652B687C" w:rsidR="00923B37" w:rsidRDefault="00923B37" w:rsidP="0032743F">
      <w:pPr>
        <w:spacing w:after="0"/>
      </w:pPr>
    </w:p>
    <w:p w14:paraId="4D544F63" w14:textId="7446253C" w:rsidR="00923B37" w:rsidRDefault="00923B37" w:rsidP="0032743F">
      <w:pPr>
        <w:spacing w:after="0"/>
      </w:pPr>
    </w:p>
    <w:p w14:paraId="420F6808" w14:textId="70A0B98F" w:rsidR="00923B37" w:rsidRDefault="00923B37" w:rsidP="0032743F">
      <w:pPr>
        <w:spacing w:after="0"/>
      </w:pPr>
    </w:p>
    <w:p w14:paraId="60FB9BF5" w14:textId="26B95EE1" w:rsidR="00923B37" w:rsidRDefault="00923B37" w:rsidP="0032743F">
      <w:pPr>
        <w:spacing w:after="0"/>
      </w:pPr>
    </w:p>
    <w:p w14:paraId="3079A6B8" w14:textId="77777777" w:rsidR="00923B37" w:rsidRPr="0032743F" w:rsidRDefault="00923B37" w:rsidP="0032743F">
      <w:pPr>
        <w:spacing w:after="0"/>
      </w:pPr>
    </w:p>
    <w:p w14:paraId="12E280BB" w14:textId="776D5E7B" w:rsidR="007D1E76" w:rsidRPr="000C3365" w:rsidRDefault="00923B37" w:rsidP="000C3365">
      <w:pPr>
        <w:pStyle w:val="Ttulo2"/>
        <w:rPr>
          <w:rFonts w:asciiTheme="minorHAnsi" w:hAnsiTheme="minorHAnsi" w:cstheme="minorHAnsi"/>
          <w:b/>
          <w:color w:val="auto"/>
          <w:sz w:val="22"/>
        </w:rPr>
      </w:pPr>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0CD37559" w14:textId="77777777" w:rsidR="0032743F" w:rsidRPr="0032743F" w:rsidRDefault="0032743F" w:rsidP="0032743F">
      <w:pPr>
        <w:tabs>
          <w:tab w:val="left" w:leader="underscore" w:pos="9639"/>
        </w:tabs>
        <w:spacing w:after="0" w:line="240" w:lineRule="auto"/>
        <w:jc w:val="both"/>
        <w:rPr>
          <w:rFonts w:cs="Calibri"/>
        </w:rPr>
      </w:pPr>
      <w:r w:rsidRPr="0032743F">
        <w:rPr>
          <w:rFonts w:cs="Calibri"/>
        </w:rPr>
        <w:t>a)  Normatividad emitida por CONAC y disposiciones legales aplicables.</w:t>
      </w:r>
    </w:p>
    <w:p w14:paraId="2749874A" w14:textId="77777777" w:rsidR="0032743F" w:rsidRPr="0032743F" w:rsidRDefault="0032743F" w:rsidP="0032743F">
      <w:pPr>
        <w:tabs>
          <w:tab w:val="left" w:leader="underscore" w:pos="9639"/>
        </w:tabs>
        <w:spacing w:after="0" w:line="240" w:lineRule="auto"/>
        <w:jc w:val="both"/>
        <w:rPr>
          <w:rFonts w:cs="Calibri"/>
        </w:rPr>
      </w:pPr>
    </w:p>
    <w:p w14:paraId="4AD7DEF3" w14:textId="77777777" w:rsidR="0032743F" w:rsidRPr="0032743F" w:rsidRDefault="0032743F" w:rsidP="0032743F">
      <w:pPr>
        <w:tabs>
          <w:tab w:val="left" w:leader="underscore" w:pos="9639"/>
        </w:tabs>
        <w:spacing w:after="0" w:line="240" w:lineRule="auto"/>
        <w:jc w:val="both"/>
        <w:rPr>
          <w:rFonts w:cs="Calibri"/>
        </w:rPr>
      </w:pPr>
      <w:r w:rsidRPr="0032743F">
        <w:rPr>
          <w:rFonts w:cs="Calibri"/>
        </w:rPr>
        <w:t>De conformidad con el Manual de Contabilidad Gubernamental (MCG) emitido por el Consejo Nacional de Armonización Contable (CONAC) adoptado por el Consejo de Armonización Contable del Estado de Guanajuato (CACEG), dicha normatividad requiere la preparación de estados financieros contables y estados financieros presupuestarios, sin embargo, los estados financieros presupuestarios no se incluyen en los presentes estados e información financiera contable dictaminada.</w:t>
      </w:r>
    </w:p>
    <w:p w14:paraId="5690EB8A" w14:textId="77777777" w:rsidR="0032743F" w:rsidRPr="0032743F" w:rsidRDefault="0032743F" w:rsidP="0032743F">
      <w:pPr>
        <w:tabs>
          <w:tab w:val="left" w:leader="underscore" w:pos="9639"/>
        </w:tabs>
        <w:spacing w:after="0" w:line="240" w:lineRule="auto"/>
        <w:jc w:val="both"/>
        <w:rPr>
          <w:rFonts w:cs="Calibri"/>
        </w:rPr>
      </w:pPr>
    </w:p>
    <w:p w14:paraId="10A8F01E" w14:textId="19EC1068" w:rsidR="0032743F" w:rsidRPr="0032743F" w:rsidRDefault="0032743F" w:rsidP="0032743F">
      <w:pPr>
        <w:tabs>
          <w:tab w:val="left" w:leader="underscore" w:pos="9639"/>
        </w:tabs>
        <w:spacing w:after="0" w:line="240" w:lineRule="auto"/>
        <w:jc w:val="both"/>
        <w:rPr>
          <w:rFonts w:cs="Calibri"/>
        </w:rPr>
      </w:pPr>
      <w:r w:rsidRPr="0032743F">
        <w:rPr>
          <w:rFonts w:cs="Calibri"/>
        </w:rPr>
        <w:t>Los estados e infor</w:t>
      </w:r>
      <w:r>
        <w:rPr>
          <w:rFonts w:cs="Calibri"/>
        </w:rPr>
        <w:t>mación financiera contable al 31</w:t>
      </w:r>
      <w:r w:rsidRPr="0032743F">
        <w:rPr>
          <w:rFonts w:cs="Calibri"/>
        </w:rPr>
        <w:t xml:space="preserve"> de </w:t>
      </w:r>
      <w:proofErr w:type="gramStart"/>
      <w:r w:rsidR="006F2CC3">
        <w:rPr>
          <w:rFonts w:cs="Calibri"/>
        </w:rPr>
        <w:t>Diciembre</w:t>
      </w:r>
      <w:proofErr w:type="gramEnd"/>
      <w:r w:rsidR="006F2CC3">
        <w:rPr>
          <w:rFonts w:cs="Calibri"/>
        </w:rPr>
        <w:t xml:space="preserve"> 2024</w:t>
      </w:r>
      <w:r w:rsidRPr="0032743F">
        <w:rPr>
          <w:rFonts w:cs="Calibri"/>
        </w:rPr>
        <w:t xml:space="preserve">, que se acompañan, cumplen cabalmente las disposiciones establecidas por el CONAC y el CACEG, conforme a lo dispuesto por el Marco Conceptual de Contabilidad Gubernamental (MCCG), la Ley Federal de Presupuesto, Ley de Responsabilidad Hacendaria y Ley Orgánica de la Administración Pública Federal, para mostrar una presentación razonable de la situación financiera del </w:t>
      </w:r>
      <w:r w:rsidR="008624DF">
        <w:rPr>
          <w:rFonts w:cs="Calibri"/>
        </w:rPr>
        <w:t>Parque</w:t>
      </w:r>
      <w:r w:rsidRPr="0032743F">
        <w:rPr>
          <w:rFonts w:cs="Calibri"/>
        </w:rPr>
        <w:t>.</w:t>
      </w:r>
    </w:p>
    <w:p w14:paraId="3C10605A" w14:textId="77777777" w:rsidR="0032743F" w:rsidRPr="0032743F" w:rsidRDefault="0032743F" w:rsidP="0032743F">
      <w:pPr>
        <w:tabs>
          <w:tab w:val="left" w:leader="underscore" w:pos="9639"/>
        </w:tabs>
        <w:spacing w:after="0" w:line="240" w:lineRule="auto"/>
        <w:jc w:val="both"/>
        <w:rPr>
          <w:rFonts w:cs="Calibri"/>
        </w:rPr>
      </w:pPr>
    </w:p>
    <w:p w14:paraId="5B4D320A" w14:textId="77777777" w:rsidR="0032743F" w:rsidRPr="0032743F" w:rsidRDefault="0032743F" w:rsidP="0032743F">
      <w:pPr>
        <w:tabs>
          <w:tab w:val="left" w:leader="underscore" w:pos="9639"/>
        </w:tabs>
        <w:spacing w:after="0" w:line="240" w:lineRule="auto"/>
        <w:jc w:val="both"/>
        <w:rPr>
          <w:rFonts w:cs="Calibri"/>
        </w:rPr>
      </w:pPr>
      <w:r w:rsidRPr="0032743F">
        <w:rPr>
          <w:rFonts w:cs="Calibri"/>
        </w:rPr>
        <w:t>Las bases para el reconocimiento contable utilizadas para la elaboración de los estados financieros son:</w:t>
      </w:r>
    </w:p>
    <w:p w14:paraId="3B857F34" w14:textId="77777777" w:rsidR="0032743F" w:rsidRPr="0032743F" w:rsidRDefault="0032743F" w:rsidP="0032743F">
      <w:pPr>
        <w:tabs>
          <w:tab w:val="left" w:leader="underscore" w:pos="9639"/>
        </w:tabs>
        <w:spacing w:after="0" w:line="240" w:lineRule="auto"/>
        <w:jc w:val="both"/>
        <w:rPr>
          <w:rFonts w:cs="Calibri"/>
        </w:rPr>
      </w:pPr>
    </w:p>
    <w:p w14:paraId="0B6DB201" w14:textId="2604C43F"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Costo de adquisición y/o histórico.</w:t>
      </w:r>
    </w:p>
    <w:p w14:paraId="0A52881D" w14:textId="5E9CBFC4"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Costo de reposición y/o reemplazo.</w:t>
      </w:r>
    </w:p>
    <w:p w14:paraId="1B3C7969" w14:textId="3B9761DD"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Recurso histórico.</w:t>
      </w:r>
    </w:p>
    <w:p w14:paraId="7A0A5F72" w14:textId="4E9A4A62"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Valor de realización.</w:t>
      </w:r>
    </w:p>
    <w:p w14:paraId="7AFCA25B" w14:textId="39F4545A"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Valor neto de realización.</w:t>
      </w:r>
    </w:p>
    <w:p w14:paraId="48ED6655" w14:textId="383CF7B7"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Valor de liquidación.</w:t>
      </w:r>
    </w:p>
    <w:p w14:paraId="567BACA9" w14:textId="40EFE628" w:rsidR="0032743F" w:rsidRPr="0032743F" w:rsidRDefault="0032743F" w:rsidP="0032743F">
      <w:pPr>
        <w:tabs>
          <w:tab w:val="left" w:leader="underscore" w:pos="9639"/>
        </w:tabs>
        <w:spacing w:after="0" w:line="240" w:lineRule="auto"/>
        <w:jc w:val="both"/>
        <w:rPr>
          <w:rFonts w:cs="Calibri"/>
        </w:rPr>
      </w:pPr>
      <w:r w:rsidRPr="0032743F">
        <w:rPr>
          <w:rFonts w:cs="Calibri"/>
        </w:rPr>
        <w:t>•</w:t>
      </w:r>
      <w:r>
        <w:rPr>
          <w:rFonts w:cs="Calibri"/>
        </w:rPr>
        <w:t xml:space="preserve"> </w:t>
      </w:r>
      <w:r w:rsidRPr="0032743F">
        <w:rPr>
          <w:rFonts w:cs="Calibri"/>
        </w:rPr>
        <w:t>Valor presente.</w:t>
      </w:r>
    </w:p>
    <w:p w14:paraId="619BAACE" w14:textId="44299DEF"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Valor razonable (donaciones).</w:t>
      </w:r>
    </w:p>
    <w:p w14:paraId="2BF491C1" w14:textId="77777777" w:rsidR="0032743F" w:rsidRPr="0032743F" w:rsidRDefault="0032743F" w:rsidP="0032743F">
      <w:pPr>
        <w:tabs>
          <w:tab w:val="left" w:leader="underscore" w:pos="9639"/>
        </w:tabs>
        <w:spacing w:after="0" w:line="240" w:lineRule="auto"/>
        <w:jc w:val="both"/>
        <w:rPr>
          <w:rFonts w:cs="Calibri"/>
        </w:rPr>
      </w:pPr>
    </w:p>
    <w:p w14:paraId="608868AF" w14:textId="77777777" w:rsidR="0032743F" w:rsidRPr="0032743F" w:rsidRDefault="0032743F" w:rsidP="0032743F">
      <w:pPr>
        <w:tabs>
          <w:tab w:val="left" w:leader="underscore" w:pos="9639"/>
        </w:tabs>
        <w:spacing w:after="0" w:line="240" w:lineRule="auto"/>
        <w:jc w:val="both"/>
        <w:rPr>
          <w:rFonts w:cs="Calibri"/>
        </w:rPr>
      </w:pPr>
      <w:r w:rsidRPr="0032743F">
        <w:rPr>
          <w:rFonts w:cs="Calibri"/>
        </w:rPr>
        <w:t>b)  Normatividad aplicada para el reconocimiento, valuación y revelación de la información financiera</w:t>
      </w:r>
    </w:p>
    <w:p w14:paraId="6C24FE07" w14:textId="77777777" w:rsidR="0032743F" w:rsidRPr="0032743F" w:rsidRDefault="0032743F" w:rsidP="0032743F">
      <w:pPr>
        <w:tabs>
          <w:tab w:val="left" w:leader="underscore" w:pos="9639"/>
        </w:tabs>
        <w:spacing w:after="0" w:line="240" w:lineRule="auto"/>
        <w:jc w:val="both"/>
        <w:rPr>
          <w:rFonts w:cs="Calibri"/>
        </w:rPr>
      </w:pPr>
    </w:p>
    <w:p w14:paraId="6232476E" w14:textId="50136F47" w:rsidR="0032743F" w:rsidRPr="0032743F" w:rsidRDefault="0032743F" w:rsidP="0032743F">
      <w:pPr>
        <w:tabs>
          <w:tab w:val="left" w:leader="underscore" w:pos="9639"/>
        </w:tabs>
        <w:spacing w:after="0" w:line="240" w:lineRule="auto"/>
        <w:jc w:val="both"/>
        <w:rPr>
          <w:rFonts w:cs="Calibri"/>
        </w:rPr>
      </w:pPr>
      <w:r w:rsidRPr="0032743F">
        <w:rPr>
          <w:rFonts w:cs="Calibri"/>
        </w:rPr>
        <w:t xml:space="preserve">El </w:t>
      </w:r>
      <w:r>
        <w:rPr>
          <w:rFonts w:cs="Calibri"/>
        </w:rPr>
        <w:t>Parque</w:t>
      </w:r>
      <w:r w:rsidRPr="0032743F">
        <w:rPr>
          <w:rFonts w:cs="Calibri"/>
        </w:rPr>
        <w:t xml:space="preserve"> para el reconocimiento, valuación y revelación de la información financiera aplicó la siguiente normatividad:</w:t>
      </w:r>
    </w:p>
    <w:p w14:paraId="3DEB2E96" w14:textId="77777777" w:rsidR="0032743F" w:rsidRPr="0032743F" w:rsidRDefault="0032743F" w:rsidP="0032743F">
      <w:pPr>
        <w:tabs>
          <w:tab w:val="left" w:leader="underscore" w:pos="9639"/>
        </w:tabs>
        <w:spacing w:after="0" w:line="240" w:lineRule="auto"/>
        <w:jc w:val="both"/>
        <w:rPr>
          <w:rFonts w:cs="Calibri"/>
        </w:rPr>
      </w:pPr>
    </w:p>
    <w:p w14:paraId="0267125A" w14:textId="7C45A649"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Normas emitidas por el CONAC y el C</w:t>
      </w:r>
      <w:r>
        <w:rPr>
          <w:rFonts w:cs="Calibri"/>
        </w:rPr>
        <w:t>ACEG</w:t>
      </w:r>
      <w:r w:rsidRPr="0032743F">
        <w:rPr>
          <w:rFonts w:cs="Calibri"/>
        </w:rPr>
        <w:t>.</w:t>
      </w:r>
    </w:p>
    <w:p w14:paraId="4737C2B6" w14:textId="7B79C099"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Normas Internacionales de Contabilidad del Sector Público.</w:t>
      </w:r>
    </w:p>
    <w:p w14:paraId="4135ACEA" w14:textId="4D1E81F5"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Ley General de Contabilidad Gubernamental.</w:t>
      </w:r>
    </w:p>
    <w:p w14:paraId="7372A99E" w14:textId="16B53AB6" w:rsidR="0032743F" w:rsidRPr="0032743F" w:rsidRDefault="0032743F" w:rsidP="0032743F">
      <w:pPr>
        <w:tabs>
          <w:tab w:val="left" w:leader="underscore" w:pos="9639"/>
        </w:tabs>
        <w:spacing w:after="0" w:line="240" w:lineRule="auto"/>
        <w:jc w:val="both"/>
        <w:rPr>
          <w:rFonts w:cs="Calibri"/>
        </w:rPr>
      </w:pPr>
    </w:p>
    <w:p w14:paraId="10E20B69" w14:textId="77777777" w:rsidR="0032743F" w:rsidRPr="0032743F" w:rsidRDefault="0032743F" w:rsidP="0032743F">
      <w:pPr>
        <w:tabs>
          <w:tab w:val="left" w:leader="underscore" w:pos="9639"/>
        </w:tabs>
        <w:spacing w:after="0" w:line="240" w:lineRule="auto"/>
        <w:jc w:val="both"/>
        <w:rPr>
          <w:rFonts w:cs="Calibri"/>
        </w:rPr>
      </w:pPr>
      <w:r w:rsidRPr="0032743F">
        <w:rPr>
          <w:rFonts w:cs="Calibri"/>
        </w:rPr>
        <w:t>c)  Postulados básicos</w:t>
      </w:r>
    </w:p>
    <w:p w14:paraId="4ADC7C1B" w14:textId="77777777" w:rsidR="0032743F" w:rsidRPr="0032743F" w:rsidRDefault="0032743F" w:rsidP="0032743F">
      <w:pPr>
        <w:tabs>
          <w:tab w:val="left" w:leader="underscore" w:pos="9639"/>
        </w:tabs>
        <w:spacing w:after="0" w:line="240" w:lineRule="auto"/>
        <w:jc w:val="both"/>
        <w:rPr>
          <w:rFonts w:cs="Calibri"/>
        </w:rPr>
      </w:pPr>
    </w:p>
    <w:p w14:paraId="07920429" w14:textId="1968F7EC" w:rsidR="0032743F" w:rsidRPr="0032743F" w:rsidRDefault="0032743F" w:rsidP="0032743F">
      <w:pPr>
        <w:tabs>
          <w:tab w:val="left" w:leader="underscore" w:pos="9639"/>
        </w:tabs>
        <w:spacing w:after="0" w:line="240" w:lineRule="auto"/>
        <w:jc w:val="both"/>
        <w:rPr>
          <w:rFonts w:cs="Calibri"/>
        </w:rPr>
      </w:pPr>
      <w:r w:rsidRPr="0032743F">
        <w:rPr>
          <w:rFonts w:cs="Calibri"/>
        </w:rPr>
        <w:t xml:space="preserve">A continuación, se presentan los Postulados Básicos de Contabilidad Gubernamental (PBCG) aplicados por el </w:t>
      </w:r>
      <w:r>
        <w:rPr>
          <w:rFonts w:cs="Calibri"/>
        </w:rPr>
        <w:t>Parque</w:t>
      </w:r>
      <w:r w:rsidRPr="0032743F">
        <w:rPr>
          <w:rFonts w:cs="Calibri"/>
        </w:rPr>
        <w:t>:</w:t>
      </w:r>
    </w:p>
    <w:p w14:paraId="07B63F09" w14:textId="77777777" w:rsidR="0032743F" w:rsidRPr="0032743F" w:rsidRDefault="0032743F" w:rsidP="0032743F">
      <w:pPr>
        <w:tabs>
          <w:tab w:val="left" w:leader="underscore" w:pos="9639"/>
        </w:tabs>
        <w:spacing w:after="0" w:line="240" w:lineRule="auto"/>
        <w:jc w:val="both"/>
        <w:rPr>
          <w:rFonts w:cs="Calibri"/>
        </w:rPr>
      </w:pPr>
    </w:p>
    <w:p w14:paraId="759D0133" w14:textId="1EFC8C05"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Sustancia económica.</w:t>
      </w:r>
    </w:p>
    <w:p w14:paraId="234405ED" w14:textId="4DE9883C"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Entes públicos.</w:t>
      </w:r>
    </w:p>
    <w:p w14:paraId="03A42D71" w14:textId="0F2EAD23"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Existencia permanente.</w:t>
      </w:r>
    </w:p>
    <w:p w14:paraId="4C700172" w14:textId="5B493AC6"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Revelación suficiente.</w:t>
      </w:r>
    </w:p>
    <w:p w14:paraId="7FF4517F" w14:textId="22C3DE4D" w:rsidR="0032743F" w:rsidRPr="0032743F" w:rsidRDefault="0032743F" w:rsidP="0032743F">
      <w:pPr>
        <w:tabs>
          <w:tab w:val="left" w:leader="underscore" w:pos="9639"/>
        </w:tabs>
        <w:spacing w:after="0" w:line="240" w:lineRule="auto"/>
        <w:jc w:val="both"/>
        <w:rPr>
          <w:rFonts w:cs="Calibri"/>
        </w:rPr>
      </w:pPr>
      <w:r>
        <w:rPr>
          <w:rFonts w:cs="Calibri"/>
        </w:rPr>
        <w:lastRenderedPageBreak/>
        <w:t xml:space="preserve">• </w:t>
      </w:r>
      <w:r w:rsidRPr="0032743F">
        <w:rPr>
          <w:rFonts w:cs="Calibri"/>
        </w:rPr>
        <w:t>Importancia relativa.</w:t>
      </w:r>
    </w:p>
    <w:p w14:paraId="5AE7623B" w14:textId="2936E295"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Registro e integración presupuestaria.</w:t>
      </w:r>
    </w:p>
    <w:p w14:paraId="79B05D41" w14:textId="36F7D84F"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Devengo contable.</w:t>
      </w:r>
    </w:p>
    <w:p w14:paraId="7DF66F0F" w14:textId="00EE3E03"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Valuación.</w:t>
      </w:r>
    </w:p>
    <w:p w14:paraId="720F9ABE" w14:textId="5706A829"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Dualidad económica.</w:t>
      </w:r>
    </w:p>
    <w:p w14:paraId="5BB05472" w14:textId="26D083AF"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Consistencia.</w:t>
      </w:r>
    </w:p>
    <w:p w14:paraId="16A48923" w14:textId="77777777" w:rsidR="0032743F" w:rsidRPr="0032743F" w:rsidRDefault="0032743F" w:rsidP="0032743F">
      <w:pPr>
        <w:tabs>
          <w:tab w:val="left" w:leader="underscore" w:pos="9639"/>
        </w:tabs>
        <w:spacing w:after="0" w:line="240" w:lineRule="auto"/>
        <w:jc w:val="both"/>
        <w:rPr>
          <w:rFonts w:cs="Calibri"/>
        </w:rPr>
      </w:pPr>
    </w:p>
    <w:p w14:paraId="412DB086" w14:textId="77777777" w:rsidR="0032743F" w:rsidRPr="0032743F" w:rsidRDefault="0032743F" w:rsidP="0032743F">
      <w:pPr>
        <w:tabs>
          <w:tab w:val="left" w:leader="underscore" w:pos="9639"/>
        </w:tabs>
        <w:spacing w:after="0" w:line="240" w:lineRule="auto"/>
        <w:jc w:val="both"/>
        <w:rPr>
          <w:rFonts w:cs="Calibri"/>
        </w:rPr>
      </w:pPr>
      <w:r w:rsidRPr="0032743F">
        <w:rPr>
          <w:rFonts w:cs="Calibri"/>
        </w:rPr>
        <w:t>d)  Normatividad supletoria</w:t>
      </w:r>
    </w:p>
    <w:p w14:paraId="10D9CFFC" w14:textId="77777777" w:rsidR="0032743F" w:rsidRPr="0032743F" w:rsidRDefault="0032743F" w:rsidP="0032743F">
      <w:pPr>
        <w:tabs>
          <w:tab w:val="left" w:leader="underscore" w:pos="9639"/>
        </w:tabs>
        <w:spacing w:after="0" w:line="240" w:lineRule="auto"/>
        <w:jc w:val="both"/>
        <w:rPr>
          <w:rFonts w:cs="Calibri"/>
        </w:rPr>
      </w:pPr>
    </w:p>
    <w:p w14:paraId="0F0CBF15" w14:textId="77777777" w:rsidR="0032743F" w:rsidRPr="0032743F" w:rsidRDefault="0032743F" w:rsidP="0032743F">
      <w:pPr>
        <w:tabs>
          <w:tab w:val="left" w:leader="underscore" w:pos="9639"/>
        </w:tabs>
        <w:spacing w:after="0" w:line="240" w:lineRule="auto"/>
        <w:jc w:val="both"/>
        <w:rPr>
          <w:rFonts w:cs="Calibri"/>
        </w:rPr>
      </w:pPr>
      <w:r w:rsidRPr="0032743F">
        <w:rPr>
          <w:rFonts w:cs="Calibri"/>
        </w:rPr>
        <w:t>El MCCG establece que el proceso de supletoriedad aplica cuando la ausencia de normatividad así lo requiera, o en un contexto más amplio, se aplicarán las bases de supletoriedad en el orden siguiente:</w:t>
      </w:r>
    </w:p>
    <w:p w14:paraId="770B3582" w14:textId="77777777" w:rsidR="0032743F" w:rsidRPr="0032743F" w:rsidRDefault="0032743F" w:rsidP="0032743F">
      <w:pPr>
        <w:tabs>
          <w:tab w:val="left" w:leader="underscore" w:pos="9639"/>
        </w:tabs>
        <w:spacing w:after="0" w:line="240" w:lineRule="auto"/>
        <w:jc w:val="both"/>
        <w:rPr>
          <w:rFonts w:cs="Calibri"/>
        </w:rPr>
      </w:pPr>
    </w:p>
    <w:p w14:paraId="0410B4DD" w14:textId="267EE626" w:rsidR="0032743F" w:rsidRPr="0032743F" w:rsidRDefault="0032743F" w:rsidP="0032743F">
      <w:pPr>
        <w:pStyle w:val="Prrafodelista"/>
        <w:numPr>
          <w:ilvl w:val="0"/>
          <w:numId w:val="6"/>
        </w:numPr>
        <w:tabs>
          <w:tab w:val="left" w:leader="underscore" w:pos="9639"/>
        </w:tabs>
        <w:spacing w:after="0" w:line="240" w:lineRule="auto"/>
        <w:jc w:val="both"/>
        <w:rPr>
          <w:rFonts w:cs="Calibri"/>
        </w:rPr>
      </w:pPr>
      <w:r w:rsidRPr="0032743F">
        <w:rPr>
          <w:rFonts w:cs="Calibri"/>
        </w:rPr>
        <w:t>La Normatividad emitida por las unidades administrativas o instancias competentes en materia de Contabilidad Gubernamental.</w:t>
      </w:r>
    </w:p>
    <w:p w14:paraId="0FF746D9" w14:textId="15894590" w:rsidR="0032743F" w:rsidRPr="0032743F" w:rsidRDefault="0032743F" w:rsidP="0032743F">
      <w:pPr>
        <w:pStyle w:val="Prrafodelista"/>
        <w:numPr>
          <w:ilvl w:val="0"/>
          <w:numId w:val="6"/>
        </w:numPr>
        <w:tabs>
          <w:tab w:val="left" w:leader="underscore" w:pos="9639"/>
        </w:tabs>
        <w:spacing w:after="0" w:line="240" w:lineRule="auto"/>
        <w:jc w:val="both"/>
        <w:rPr>
          <w:rFonts w:cs="Calibri"/>
        </w:rPr>
      </w:pPr>
      <w:r w:rsidRPr="0032743F">
        <w:rPr>
          <w:rFonts w:cs="Calibri"/>
        </w:rPr>
        <w:t xml:space="preserve">Normas Internacionales de Contabilidad para el Sector Público (NICSP), emitidas por la Junta de Normas Internacionales del Sector Público. </w:t>
      </w:r>
    </w:p>
    <w:p w14:paraId="1C65AE07" w14:textId="3ECABF46" w:rsidR="0032743F" w:rsidRPr="0032743F" w:rsidRDefault="0032743F" w:rsidP="0032743F">
      <w:pPr>
        <w:pStyle w:val="Prrafodelista"/>
        <w:numPr>
          <w:ilvl w:val="0"/>
          <w:numId w:val="6"/>
        </w:numPr>
        <w:tabs>
          <w:tab w:val="left" w:leader="underscore" w:pos="9639"/>
        </w:tabs>
        <w:spacing w:after="0" w:line="240" w:lineRule="auto"/>
        <w:jc w:val="both"/>
        <w:rPr>
          <w:rFonts w:cs="Calibri"/>
        </w:rPr>
      </w:pPr>
      <w:r w:rsidRPr="0032743F">
        <w:rPr>
          <w:rFonts w:cs="Calibri"/>
        </w:rPr>
        <w:t>Normas de Información Financiera (NIF), emitidas por el Consejo Mexicano de Normas de Información Financiera (CINIF).</w:t>
      </w:r>
    </w:p>
    <w:p w14:paraId="03D2090E" w14:textId="77777777" w:rsidR="0032743F" w:rsidRPr="0032743F" w:rsidRDefault="0032743F" w:rsidP="0032743F">
      <w:pPr>
        <w:tabs>
          <w:tab w:val="left" w:leader="underscore" w:pos="9639"/>
        </w:tabs>
        <w:spacing w:after="0" w:line="240" w:lineRule="auto"/>
        <w:jc w:val="both"/>
        <w:rPr>
          <w:rFonts w:cs="Calibri"/>
        </w:rPr>
      </w:pPr>
    </w:p>
    <w:p w14:paraId="2BB20EA4" w14:textId="77777777" w:rsidR="0032743F" w:rsidRPr="0032743F" w:rsidRDefault="0032743F" w:rsidP="0032743F">
      <w:pPr>
        <w:tabs>
          <w:tab w:val="left" w:leader="underscore" w:pos="9639"/>
        </w:tabs>
        <w:spacing w:after="0" w:line="240" w:lineRule="auto"/>
        <w:jc w:val="both"/>
        <w:rPr>
          <w:rFonts w:cs="Calibri"/>
        </w:rPr>
      </w:pPr>
      <w:r w:rsidRPr="0032743F">
        <w:rPr>
          <w:rFonts w:cs="Calibri"/>
        </w:rPr>
        <w:t>e) Uso de estimaciones</w:t>
      </w:r>
    </w:p>
    <w:p w14:paraId="68E87807" w14:textId="77777777" w:rsidR="0032743F" w:rsidRPr="0032743F" w:rsidRDefault="0032743F" w:rsidP="0032743F">
      <w:pPr>
        <w:tabs>
          <w:tab w:val="left" w:leader="underscore" w:pos="9639"/>
        </w:tabs>
        <w:spacing w:after="0" w:line="240" w:lineRule="auto"/>
        <w:jc w:val="both"/>
        <w:rPr>
          <w:rFonts w:cs="Calibri"/>
        </w:rPr>
      </w:pPr>
    </w:p>
    <w:p w14:paraId="39518534" w14:textId="44DA7088" w:rsidR="0032743F" w:rsidRPr="0032743F" w:rsidRDefault="0032743F" w:rsidP="0032743F">
      <w:pPr>
        <w:tabs>
          <w:tab w:val="left" w:leader="underscore" w:pos="9639"/>
        </w:tabs>
        <w:spacing w:after="0" w:line="240" w:lineRule="auto"/>
        <w:jc w:val="both"/>
        <w:rPr>
          <w:rFonts w:cs="Calibri"/>
        </w:rPr>
      </w:pPr>
      <w:r w:rsidRPr="0032743F">
        <w:rPr>
          <w:rFonts w:cs="Calibri"/>
        </w:rPr>
        <w:t xml:space="preserve">El MCCG requiere realizar ciertas estimaciones contables críticas para preparar los estados financieros. Asimismo, requiere que la administración ejerza su juicio para definir las políticas contables del </w:t>
      </w:r>
      <w:r w:rsidR="008624DF">
        <w:rPr>
          <w:rFonts w:cs="Calibri"/>
        </w:rPr>
        <w:t>Parque</w:t>
      </w:r>
      <w:r w:rsidRPr="0032743F">
        <w:rPr>
          <w:rFonts w:cs="Calibri"/>
        </w:rPr>
        <w:t>.</w:t>
      </w:r>
    </w:p>
    <w:p w14:paraId="076FDB82" w14:textId="77777777" w:rsidR="0032743F" w:rsidRPr="0032743F" w:rsidRDefault="0032743F" w:rsidP="0032743F">
      <w:pPr>
        <w:tabs>
          <w:tab w:val="left" w:leader="underscore" w:pos="9639"/>
        </w:tabs>
        <w:spacing w:after="0" w:line="240" w:lineRule="auto"/>
        <w:jc w:val="both"/>
        <w:rPr>
          <w:rFonts w:cs="Calibri"/>
        </w:rPr>
      </w:pPr>
    </w:p>
    <w:p w14:paraId="2119A6EF" w14:textId="6944C5DE" w:rsidR="007D1E76" w:rsidRDefault="0032743F" w:rsidP="0032743F">
      <w:pPr>
        <w:tabs>
          <w:tab w:val="left" w:leader="underscore" w:pos="9639"/>
        </w:tabs>
        <w:spacing w:after="0" w:line="240" w:lineRule="auto"/>
        <w:jc w:val="both"/>
        <w:rPr>
          <w:rFonts w:cs="Calibri"/>
        </w:rPr>
      </w:pPr>
      <w:r w:rsidRPr="0032743F">
        <w:rPr>
          <w:rFonts w:cs="Calibri"/>
        </w:rPr>
        <w:t>Las estimaciones y juicios utilizados para la elaboración de los estados financieros son evaluados continuamente y se basan en la experiencia histórica y en otros factores, incluyendo proyecciones de eventos futuros que se consideran razonables bajo las circunstancias actuales.</w:t>
      </w:r>
    </w:p>
    <w:p w14:paraId="4F68B0F9" w14:textId="518F2850" w:rsidR="0032743F" w:rsidRDefault="0032743F" w:rsidP="00CB41C4">
      <w:pPr>
        <w:tabs>
          <w:tab w:val="left" w:leader="underscore" w:pos="9639"/>
        </w:tabs>
        <w:spacing w:after="0" w:line="240" w:lineRule="auto"/>
        <w:jc w:val="both"/>
        <w:rPr>
          <w:rFonts w:cs="Calibri"/>
        </w:rPr>
      </w:pPr>
    </w:p>
    <w:p w14:paraId="7C0A76E0" w14:textId="77777777" w:rsidR="0032743F" w:rsidRPr="00E74967" w:rsidRDefault="0032743F" w:rsidP="00CB41C4">
      <w:pPr>
        <w:tabs>
          <w:tab w:val="left" w:leader="underscore" w:pos="9639"/>
        </w:tabs>
        <w:spacing w:after="0" w:line="240" w:lineRule="auto"/>
        <w:jc w:val="both"/>
        <w:rPr>
          <w:rFonts w:cs="Calibri"/>
        </w:rPr>
      </w:pPr>
    </w:p>
    <w:p w14:paraId="7025E7E0" w14:textId="6B0F233D" w:rsidR="007D1E76" w:rsidRPr="00E74967" w:rsidRDefault="00923B37" w:rsidP="000C3365">
      <w:pPr>
        <w:pStyle w:val="Ttulo2"/>
        <w:rPr>
          <w:rFonts w:cs="Calibri"/>
          <w:b/>
        </w:rPr>
      </w:pPr>
      <w:bookmarkStart w:id="5" w:name="_Toc508279626"/>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4773A4FE" w14:textId="5910586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4BFC8F8F" w14:textId="7922875C" w:rsidR="00467FFD" w:rsidRPr="00467FFD" w:rsidRDefault="00467FFD" w:rsidP="00467FFD">
      <w:pPr>
        <w:tabs>
          <w:tab w:val="left" w:leader="underscore" w:pos="9639"/>
        </w:tabs>
        <w:spacing w:after="0" w:line="240" w:lineRule="auto"/>
        <w:jc w:val="both"/>
        <w:rPr>
          <w:rFonts w:cs="Calibri"/>
        </w:rPr>
      </w:pPr>
      <w:r w:rsidRPr="00467FFD">
        <w:rPr>
          <w:rFonts w:cs="Calibri"/>
        </w:rPr>
        <w:t>a) Actualización: se informará del método utilizado para la actualización del valor de los activos, pasivos y Hacienda Pública/Patrimonio y las razones de dicha elección.</w:t>
      </w:r>
    </w:p>
    <w:p w14:paraId="5AE041E2" w14:textId="5E1DB866" w:rsidR="00467FFD" w:rsidRDefault="00467FFD" w:rsidP="00467FFD">
      <w:pPr>
        <w:tabs>
          <w:tab w:val="left" w:leader="underscore" w:pos="9639"/>
        </w:tabs>
        <w:spacing w:after="0" w:line="240" w:lineRule="auto"/>
        <w:jc w:val="both"/>
        <w:rPr>
          <w:rFonts w:cs="Calibri"/>
        </w:rPr>
      </w:pPr>
      <w:r w:rsidRPr="00467FFD">
        <w:rPr>
          <w:rFonts w:cs="Calibri"/>
        </w:rPr>
        <w:t xml:space="preserve">En materia de reconocimiento de inflación el </w:t>
      </w:r>
      <w:r>
        <w:rPr>
          <w:rFonts w:cs="Calibri"/>
        </w:rPr>
        <w:t>Patronato del Parque</w:t>
      </w:r>
      <w:r w:rsidRPr="00467FFD">
        <w:rPr>
          <w:rFonts w:cs="Calibri"/>
        </w:rPr>
        <w:t xml:space="preserve"> no ha incorporado efecto alguno</w:t>
      </w:r>
      <w:r>
        <w:rPr>
          <w:rFonts w:cs="Calibri"/>
        </w:rPr>
        <w:t>.</w:t>
      </w:r>
    </w:p>
    <w:p w14:paraId="4F873617" w14:textId="77777777" w:rsidR="00923B37" w:rsidRPr="00467FFD" w:rsidRDefault="00923B37" w:rsidP="00467FFD">
      <w:pPr>
        <w:tabs>
          <w:tab w:val="left" w:leader="underscore" w:pos="9639"/>
        </w:tabs>
        <w:spacing w:after="0" w:line="240" w:lineRule="auto"/>
        <w:jc w:val="both"/>
        <w:rPr>
          <w:rFonts w:cs="Calibri"/>
        </w:rPr>
      </w:pPr>
    </w:p>
    <w:p w14:paraId="56EA0A9D" w14:textId="0DDE7748" w:rsidR="00467FFD" w:rsidRPr="00467FFD" w:rsidRDefault="00467FFD" w:rsidP="00467FFD">
      <w:pPr>
        <w:tabs>
          <w:tab w:val="left" w:leader="underscore" w:pos="9639"/>
        </w:tabs>
        <w:spacing w:after="0" w:line="240" w:lineRule="auto"/>
        <w:jc w:val="both"/>
        <w:rPr>
          <w:rFonts w:cs="Calibri"/>
        </w:rPr>
      </w:pPr>
      <w:r w:rsidRPr="00467FFD">
        <w:rPr>
          <w:rFonts w:cs="Calibri"/>
        </w:rPr>
        <w:t>b) Informar sobre la realización de operaciones en el extranjero y de sus efectos en la información financiera gubernamental:</w:t>
      </w:r>
    </w:p>
    <w:p w14:paraId="6BA60CC3" w14:textId="255891B9" w:rsidR="00467FFD" w:rsidRDefault="00467FFD" w:rsidP="00467FFD">
      <w:pPr>
        <w:tabs>
          <w:tab w:val="left" w:leader="underscore" w:pos="9639"/>
        </w:tabs>
        <w:spacing w:after="0" w:line="240" w:lineRule="auto"/>
        <w:jc w:val="both"/>
        <w:rPr>
          <w:rFonts w:cs="Calibri"/>
        </w:rPr>
      </w:pPr>
      <w:r>
        <w:rPr>
          <w:rFonts w:cs="Calibri"/>
        </w:rPr>
        <w:t>No se realizan operaciones en el extranjero.</w:t>
      </w:r>
    </w:p>
    <w:p w14:paraId="51DB352E" w14:textId="77777777" w:rsidR="00467FFD" w:rsidRPr="00467FFD" w:rsidRDefault="00467FFD" w:rsidP="00467FFD">
      <w:pPr>
        <w:tabs>
          <w:tab w:val="left" w:leader="underscore" w:pos="9639"/>
        </w:tabs>
        <w:spacing w:after="0" w:line="240" w:lineRule="auto"/>
        <w:jc w:val="both"/>
        <w:rPr>
          <w:rFonts w:cs="Calibri"/>
        </w:rPr>
      </w:pPr>
    </w:p>
    <w:p w14:paraId="4CBAC877" w14:textId="69E95FE0" w:rsidR="00467FFD" w:rsidRPr="00467FFD" w:rsidRDefault="00467FFD" w:rsidP="00467FFD">
      <w:pPr>
        <w:tabs>
          <w:tab w:val="left" w:leader="underscore" w:pos="9639"/>
        </w:tabs>
        <w:spacing w:after="0" w:line="240" w:lineRule="auto"/>
        <w:jc w:val="both"/>
        <w:rPr>
          <w:rFonts w:cs="Calibri"/>
        </w:rPr>
      </w:pPr>
      <w:r w:rsidRPr="00467FFD">
        <w:rPr>
          <w:rFonts w:cs="Calibri"/>
        </w:rPr>
        <w:t>c) Método de valuación de la inversión en acciones de Compañías subsidiarias no consolidadas y asociadas:</w:t>
      </w:r>
    </w:p>
    <w:p w14:paraId="34A9647C" w14:textId="77BEAD1F" w:rsidR="00467FFD" w:rsidRPr="00467FFD" w:rsidRDefault="00467FFD" w:rsidP="00467FFD">
      <w:pPr>
        <w:tabs>
          <w:tab w:val="left" w:leader="underscore" w:pos="9639"/>
        </w:tabs>
        <w:spacing w:after="0" w:line="240" w:lineRule="auto"/>
        <w:jc w:val="both"/>
        <w:rPr>
          <w:rFonts w:cs="Calibri"/>
        </w:rPr>
      </w:pPr>
      <w:r w:rsidRPr="00467FFD">
        <w:rPr>
          <w:rFonts w:cs="Calibri"/>
        </w:rPr>
        <w:t>El</w:t>
      </w:r>
      <w:r w:rsidR="00252368">
        <w:rPr>
          <w:rFonts w:cs="Calibri"/>
        </w:rPr>
        <w:t xml:space="preserve"> </w:t>
      </w:r>
      <w:r>
        <w:rPr>
          <w:rFonts w:cs="Calibri"/>
        </w:rPr>
        <w:t>Parque</w:t>
      </w:r>
      <w:r w:rsidRPr="00467FFD">
        <w:rPr>
          <w:rFonts w:cs="Calibri"/>
        </w:rPr>
        <w:t xml:space="preserve"> no tiene acciones en compañías subsidiarias no consolidadas y asociadas.</w:t>
      </w:r>
    </w:p>
    <w:p w14:paraId="6180A80F" w14:textId="77777777" w:rsidR="00467FFD" w:rsidRPr="00467FFD" w:rsidRDefault="00467FFD" w:rsidP="00467FFD">
      <w:pPr>
        <w:tabs>
          <w:tab w:val="left" w:leader="underscore" w:pos="9639"/>
        </w:tabs>
        <w:spacing w:after="0" w:line="240" w:lineRule="auto"/>
        <w:jc w:val="both"/>
        <w:rPr>
          <w:rFonts w:cs="Calibri"/>
        </w:rPr>
      </w:pPr>
    </w:p>
    <w:p w14:paraId="13B41340" w14:textId="2789BEC0" w:rsidR="00467FFD" w:rsidRPr="00467FFD" w:rsidRDefault="00467FFD" w:rsidP="00467FFD">
      <w:pPr>
        <w:tabs>
          <w:tab w:val="left" w:leader="underscore" w:pos="9639"/>
        </w:tabs>
        <w:spacing w:after="0" w:line="240" w:lineRule="auto"/>
        <w:jc w:val="both"/>
        <w:rPr>
          <w:rFonts w:cs="Calibri"/>
        </w:rPr>
      </w:pPr>
      <w:r w:rsidRPr="00467FFD">
        <w:rPr>
          <w:rFonts w:cs="Calibri"/>
        </w:rPr>
        <w:t>d) Sistema y método de valuación de inventarios y costo de lo vendido:</w:t>
      </w:r>
    </w:p>
    <w:p w14:paraId="718D3449" w14:textId="018538BE" w:rsidR="00467FFD" w:rsidRDefault="00467FFD" w:rsidP="00467FFD">
      <w:pPr>
        <w:tabs>
          <w:tab w:val="left" w:leader="underscore" w:pos="9639"/>
        </w:tabs>
        <w:spacing w:after="0" w:line="240" w:lineRule="auto"/>
        <w:jc w:val="both"/>
        <w:rPr>
          <w:rFonts w:cs="Calibri"/>
        </w:rPr>
      </w:pPr>
      <w:r>
        <w:rPr>
          <w:rFonts w:cs="Calibri"/>
        </w:rPr>
        <w:t>Actualmente no se tienen registros en el rubro de inventarios</w:t>
      </w:r>
      <w:r w:rsidRPr="00467FFD">
        <w:rPr>
          <w:rFonts w:cs="Calibri"/>
        </w:rPr>
        <w:t>.</w:t>
      </w:r>
    </w:p>
    <w:p w14:paraId="7E533971" w14:textId="2C8E7E3A" w:rsidR="00467FFD" w:rsidRPr="00467FFD" w:rsidRDefault="00467FFD" w:rsidP="00467FFD">
      <w:pPr>
        <w:tabs>
          <w:tab w:val="left" w:leader="underscore" w:pos="9639"/>
        </w:tabs>
        <w:spacing w:after="0" w:line="240" w:lineRule="auto"/>
        <w:jc w:val="both"/>
        <w:rPr>
          <w:rFonts w:cs="Calibri"/>
        </w:rPr>
      </w:pPr>
      <w:r w:rsidRPr="00467FFD">
        <w:rPr>
          <w:rFonts w:cs="Calibri"/>
        </w:rPr>
        <w:t xml:space="preserve"> </w:t>
      </w:r>
    </w:p>
    <w:p w14:paraId="59CF90EC" w14:textId="77777777" w:rsidR="00467FFD" w:rsidRPr="00467FFD" w:rsidRDefault="00467FFD" w:rsidP="00467FFD">
      <w:pPr>
        <w:tabs>
          <w:tab w:val="left" w:leader="underscore" w:pos="9639"/>
        </w:tabs>
        <w:spacing w:after="0" w:line="240" w:lineRule="auto"/>
        <w:jc w:val="both"/>
        <w:rPr>
          <w:rFonts w:cs="Calibri"/>
        </w:rPr>
      </w:pPr>
      <w:r w:rsidRPr="00467FFD">
        <w:rPr>
          <w:rFonts w:cs="Calibri"/>
        </w:rPr>
        <w:lastRenderedPageBreak/>
        <w:t>e) Beneficios a empleados: revelar el cálculo de la reserva actuarial, valor presente de los ingresos esperados comparado con el valor presente de la estimación de gastos tanto de los beneficiarios actuales como futuros:</w:t>
      </w:r>
    </w:p>
    <w:p w14:paraId="0AF784BB" w14:textId="77777777" w:rsidR="00467FFD" w:rsidRPr="00467FFD" w:rsidRDefault="00467FFD" w:rsidP="00467FFD">
      <w:pPr>
        <w:tabs>
          <w:tab w:val="left" w:leader="underscore" w:pos="9639"/>
        </w:tabs>
        <w:spacing w:after="0" w:line="240" w:lineRule="auto"/>
        <w:jc w:val="both"/>
        <w:rPr>
          <w:rFonts w:cs="Calibri"/>
        </w:rPr>
      </w:pPr>
    </w:p>
    <w:p w14:paraId="54ABA8FD" w14:textId="27D0D561" w:rsidR="00467FFD" w:rsidRDefault="00467FFD" w:rsidP="00467FFD">
      <w:pPr>
        <w:tabs>
          <w:tab w:val="left" w:leader="underscore" w:pos="9639"/>
        </w:tabs>
        <w:spacing w:after="0" w:line="240" w:lineRule="auto"/>
        <w:jc w:val="both"/>
        <w:rPr>
          <w:rFonts w:cs="Calibri"/>
        </w:rPr>
      </w:pPr>
      <w:r w:rsidRPr="00467FFD">
        <w:rPr>
          <w:rFonts w:cs="Calibri"/>
        </w:rPr>
        <w:t>Los trabajadores de</w:t>
      </w:r>
      <w:r>
        <w:rPr>
          <w:rFonts w:cs="Calibri"/>
        </w:rPr>
        <w:t>l Parque Metropolitano de León</w:t>
      </w:r>
      <w:r w:rsidRPr="00467FFD">
        <w:rPr>
          <w:rFonts w:cs="Calibri"/>
        </w:rPr>
        <w:t xml:space="preserve"> se encuentran afiliados al Instituto Mexicano del Seguro Social, en donde como obligación patronal se cubren de manera bimestral las cuotas respectivas a los ramos de retiro, cesantía en edad avanzada y vejez, mismas que se depositan en las respectivas subcuentas de la cuenta individual de cada trabajador, en los términos previstos en la Ley para la Coordinación de los sistemas de Ahorro para el Retiro y la propia del Instituto. </w:t>
      </w:r>
    </w:p>
    <w:p w14:paraId="1196C401" w14:textId="77777777" w:rsidR="00467FFD" w:rsidRPr="00467FFD" w:rsidRDefault="00467FFD" w:rsidP="00467FFD">
      <w:pPr>
        <w:tabs>
          <w:tab w:val="left" w:leader="underscore" w:pos="9639"/>
        </w:tabs>
        <w:spacing w:after="0" w:line="240" w:lineRule="auto"/>
        <w:jc w:val="both"/>
        <w:rPr>
          <w:rFonts w:cs="Calibri"/>
        </w:rPr>
      </w:pPr>
    </w:p>
    <w:p w14:paraId="13C2D1C5" w14:textId="51827562" w:rsidR="00467FFD" w:rsidRPr="00467FFD" w:rsidRDefault="00467FFD" w:rsidP="00467FFD">
      <w:pPr>
        <w:tabs>
          <w:tab w:val="left" w:leader="underscore" w:pos="9639"/>
        </w:tabs>
        <w:spacing w:after="0" w:line="240" w:lineRule="auto"/>
        <w:jc w:val="both"/>
        <w:rPr>
          <w:rFonts w:cs="Calibri"/>
        </w:rPr>
      </w:pPr>
      <w:r w:rsidRPr="00467FFD">
        <w:rPr>
          <w:rFonts w:cs="Calibri"/>
        </w:rPr>
        <w:t>f) Provisiones:</w:t>
      </w:r>
    </w:p>
    <w:p w14:paraId="33F62AB0" w14:textId="1B899AB1" w:rsidR="00467FFD" w:rsidRPr="00467FFD" w:rsidRDefault="00467FFD" w:rsidP="00467FFD">
      <w:pPr>
        <w:tabs>
          <w:tab w:val="left" w:leader="underscore" w:pos="9639"/>
        </w:tabs>
        <w:spacing w:after="0" w:line="240" w:lineRule="auto"/>
        <w:jc w:val="both"/>
        <w:rPr>
          <w:rFonts w:cs="Calibri"/>
        </w:rPr>
      </w:pPr>
      <w:r w:rsidRPr="00467FFD">
        <w:rPr>
          <w:rFonts w:cs="Calibri"/>
        </w:rPr>
        <w:t>Las provisiones de pasivo representan obligaciones presentes (legal o asumida), por eventos pasados en los que es probable la salida de recursos económicos. Estas provisiones se han registrado bajo la mejor estimación realizada por la Administración</w:t>
      </w:r>
      <w:r>
        <w:rPr>
          <w:rFonts w:cs="Calibri"/>
        </w:rPr>
        <w:t>.</w:t>
      </w:r>
    </w:p>
    <w:p w14:paraId="2A712FBC" w14:textId="38F68AA7" w:rsidR="00467FFD" w:rsidRPr="00467FFD" w:rsidRDefault="00467FFD" w:rsidP="00467FFD">
      <w:pPr>
        <w:tabs>
          <w:tab w:val="left" w:leader="underscore" w:pos="9639"/>
        </w:tabs>
        <w:spacing w:after="0" w:line="240" w:lineRule="auto"/>
        <w:jc w:val="both"/>
        <w:rPr>
          <w:rFonts w:cs="Calibri"/>
        </w:rPr>
      </w:pPr>
    </w:p>
    <w:p w14:paraId="7F6BF38D" w14:textId="20A31E47" w:rsidR="00467FFD" w:rsidRPr="00467FFD" w:rsidRDefault="00467FFD" w:rsidP="00467FFD">
      <w:pPr>
        <w:tabs>
          <w:tab w:val="left" w:leader="underscore" w:pos="9639"/>
        </w:tabs>
        <w:spacing w:after="0" w:line="240" w:lineRule="auto"/>
        <w:jc w:val="both"/>
        <w:rPr>
          <w:rFonts w:cs="Calibri"/>
        </w:rPr>
      </w:pPr>
      <w:r>
        <w:rPr>
          <w:rFonts w:cs="Calibri"/>
        </w:rPr>
        <w:t>g) Reservas:</w:t>
      </w:r>
    </w:p>
    <w:p w14:paraId="619B8246" w14:textId="754A6272" w:rsidR="00467FFD" w:rsidRPr="00467FFD" w:rsidRDefault="00467FFD" w:rsidP="00467FFD">
      <w:pPr>
        <w:tabs>
          <w:tab w:val="left" w:leader="underscore" w:pos="9639"/>
        </w:tabs>
        <w:spacing w:after="0" w:line="240" w:lineRule="auto"/>
        <w:jc w:val="both"/>
        <w:rPr>
          <w:rFonts w:cs="Calibri"/>
        </w:rPr>
      </w:pPr>
      <w:r w:rsidRPr="00467FFD">
        <w:rPr>
          <w:rFonts w:cs="Calibri"/>
        </w:rPr>
        <w:t xml:space="preserve">Por los periodos comprendidos en el presente Estado Financiero, el </w:t>
      </w:r>
      <w:r>
        <w:rPr>
          <w:rFonts w:cs="Calibri"/>
        </w:rPr>
        <w:t>Parque</w:t>
      </w:r>
      <w:r w:rsidRPr="00467FFD">
        <w:rPr>
          <w:rFonts w:cs="Calibri"/>
        </w:rPr>
        <w:t xml:space="preserve"> no ha creado reservas que afecten la cuenta de patrimonio. </w:t>
      </w:r>
    </w:p>
    <w:p w14:paraId="25E19C5C" w14:textId="77777777" w:rsidR="00467FFD" w:rsidRPr="00467FFD" w:rsidRDefault="00467FFD" w:rsidP="00467FFD">
      <w:pPr>
        <w:tabs>
          <w:tab w:val="left" w:leader="underscore" w:pos="9639"/>
        </w:tabs>
        <w:spacing w:after="0" w:line="240" w:lineRule="auto"/>
        <w:jc w:val="both"/>
        <w:rPr>
          <w:rFonts w:cs="Calibri"/>
        </w:rPr>
      </w:pPr>
    </w:p>
    <w:p w14:paraId="1A179115" w14:textId="68584BA7" w:rsidR="00467FFD" w:rsidRPr="00467FFD" w:rsidRDefault="00467FFD" w:rsidP="00467FFD">
      <w:pPr>
        <w:tabs>
          <w:tab w:val="left" w:leader="underscore" w:pos="9639"/>
        </w:tabs>
        <w:spacing w:after="0" w:line="240" w:lineRule="auto"/>
        <w:jc w:val="both"/>
        <w:rPr>
          <w:rFonts w:cs="Calibri"/>
        </w:rPr>
      </w:pPr>
      <w:r w:rsidRPr="00467FFD">
        <w:rPr>
          <w:rFonts w:cs="Calibri"/>
        </w:rPr>
        <w:t>h) Cambios en políticas contables:</w:t>
      </w:r>
    </w:p>
    <w:p w14:paraId="7FBA0871" w14:textId="7918DF36" w:rsidR="00467FFD" w:rsidRPr="00467FFD" w:rsidRDefault="00467FFD" w:rsidP="00467FFD">
      <w:pPr>
        <w:tabs>
          <w:tab w:val="left" w:leader="underscore" w:pos="9639"/>
        </w:tabs>
        <w:spacing w:after="0" w:line="240" w:lineRule="auto"/>
        <w:jc w:val="both"/>
        <w:rPr>
          <w:rFonts w:cs="Calibri"/>
        </w:rPr>
      </w:pPr>
      <w:r w:rsidRPr="00467FFD">
        <w:rPr>
          <w:rFonts w:cs="Calibri"/>
        </w:rPr>
        <w:t xml:space="preserve">Las siguientes normas han sido adoptadas por el </w:t>
      </w:r>
      <w:r>
        <w:rPr>
          <w:rFonts w:cs="Calibri"/>
        </w:rPr>
        <w:t>Patronato del Parque</w:t>
      </w:r>
      <w:r w:rsidRPr="00467FFD">
        <w:rPr>
          <w:rFonts w:cs="Calibri"/>
        </w:rPr>
        <w:t xml:space="preserve"> en el ejercicio, las cuales tuvieron un impacto en el </w:t>
      </w:r>
      <w:r w:rsidR="008624DF">
        <w:rPr>
          <w:rFonts w:cs="Calibri"/>
        </w:rPr>
        <w:t>Parque Metropolitano</w:t>
      </w:r>
      <w:r w:rsidRPr="00467FFD">
        <w:rPr>
          <w:rFonts w:cs="Calibri"/>
        </w:rPr>
        <w:t>:</w:t>
      </w:r>
    </w:p>
    <w:p w14:paraId="7C1010E5" w14:textId="057B50F9" w:rsidR="00467FFD" w:rsidRPr="00467FFD" w:rsidRDefault="00467FFD" w:rsidP="00467FFD">
      <w:pPr>
        <w:tabs>
          <w:tab w:val="left" w:leader="underscore" w:pos="9639"/>
        </w:tabs>
        <w:spacing w:after="0" w:line="240" w:lineRule="auto"/>
        <w:jc w:val="both"/>
        <w:rPr>
          <w:rFonts w:cs="Calibri"/>
        </w:rPr>
      </w:pPr>
    </w:p>
    <w:p w14:paraId="0F65285E" w14:textId="4FC4465D" w:rsidR="00467FFD" w:rsidRPr="00467FFD" w:rsidRDefault="00467FFD" w:rsidP="00467FFD">
      <w:pPr>
        <w:pStyle w:val="Prrafodelista"/>
        <w:numPr>
          <w:ilvl w:val="0"/>
          <w:numId w:val="7"/>
        </w:numPr>
        <w:tabs>
          <w:tab w:val="left" w:leader="underscore" w:pos="9639"/>
        </w:tabs>
        <w:spacing w:after="0" w:line="240" w:lineRule="auto"/>
        <w:jc w:val="both"/>
        <w:rPr>
          <w:rFonts w:cs="Calibri"/>
        </w:rPr>
      </w:pPr>
      <w:r w:rsidRPr="00467FFD">
        <w:rPr>
          <w:rFonts w:cs="Calibri"/>
        </w:rPr>
        <w:t>Normas emitidas por el CONAC:</w:t>
      </w:r>
    </w:p>
    <w:p w14:paraId="36CA4556" w14:textId="77777777" w:rsidR="00467FFD" w:rsidRPr="00467FFD" w:rsidRDefault="00467FFD" w:rsidP="00467FFD">
      <w:pPr>
        <w:tabs>
          <w:tab w:val="left" w:leader="underscore" w:pos="9639"/>
        </w:tabs>
        <w:spacing w:after="0" w:line="240" w:lineRule="auto"/>
        <w:jc w:val="both"/>
        <w:rPr>
          <w:rFonts w:cs="Calibri"/>
        </w:rPr>
      </w:pPr>
    </w:p>
    <w:p w14:paraId="08D2CE03" w14:textId="0181DBF5" w:rsidR="00467FFD" w:rsidRPr="00467FFD" w:rsidRDefault="00467FFD" w:rsidP="00467FFD">
      <w:pPr>
        <w:tabs>
          <w:tab w:val="left" w:leader="underscore" w:pos="9639"/>
        </w:tabs>
        <w:spacing w:after="0" w:line="240" w:lineRule="auto"/>
        <w:jc w:val="both"/>
        <w:rPr>
          <w:rFonts w:cs="Calibri"/>
        </w:rPr>
      </w:pPr>
      <w:r>
        <w:rPr>
          <w:rFonts w:cs="Calibri"/>
        </w:rPr>
        <w:t xml:space="preserve">• </w:t>
      </w:r>
      <w:r w:rsidRPr="00467FFD">
        <w:rPr>
          <w:rFonts w:cs="Calibri"/>
        </w:rPr>
        <w:t>Clasificador por fuentes de financiamiento.</w:t>
      </w:r>
    </w:p>
    <w:p w14:paraId="1A35ED6F" w14:textId="373E7D0B" w:rsidR="00467FFD" w:rsidRPr="00467FFD" w:rsidRDefault="00467FFD" w:rsidP="00467FFD">
      <w:pPr>
        <w:tabs>
          <w:tab w:val="left" w:leader="underscore" w:pos="9639"/>
        </w:tabs>
        <w:spacing w:after="0" w:line="240" w:lineRule="auto"/>
        <w:jc w:val="both"/>
        <w:rPr>
          <w:rFonts w:cs="Calibri"/>
        </w:rPr>
      </w:pPr>
      <w:r>
        <w:rPr>
          <w:rFonts w:cs="Calibri"/>
        </w:rPr>
        <w:t xml:space="preserve">• </w:t>
      </w:r>
      <w:r w:rsidRPr="00467FFD">
        <w:rPr>
          <w:rFonts w:cs="Calibri"/>
        </w:rPr>
        <w:t>Manual de Contabilidad Gubernamental (MCG) capítulo III Plan de cuentas y IV Instructivos de cuentas.</w:t>
      </w:r>
    </w:p>
    <w:p w14:paraId="21E27279" w14:textId="514ACBA7" w:rsidR="00467FFD" w:rsidRPr="00467FFD" w:rsidRDefault="00467FFD" w:rsidP="00467FFD">
      <w:pPr>
        <w:tabs>
          <w:tab w:val="left" w:leader="underscore" w:pos="9639"/>
        </w:tabs>
        <w:spacing w:after="0" w:line="240" w:lineRule="auto"/>
        <w:jc w:val="both"/>
        <w:rPr>
          <w:rFonts w:cs="Calibri"/>
        </w:rPr>
      </w:pPr>
      <w:r>
        <w:rPr>
          <w:rFonts w:cs="Calibri"/>
        </w:rPr>
        <w:t xml:space="preserve">• </w:t>
      </w:r>
      <w:r w:rsidRPr="00467FFD">
        <w:rPr>
          <w:rFonts w:cs="Calibri"/>
        </w:rPr>
        <w:t>Normas y metodología para la determinación de los momentos contables de los ingresos.</w:t>
      </w:r>
    </w:p>
    <w:p w14:paraId="1525A13B" w14:textId="74861821" w:rsidR="00467FFD" w:rsidRPr="00467FFD" w:rsidRDefault="00467FFD" w:rsidP="00467FFD">
      <w:pPr>
        <w:tabs>
          <w:tab w:val="left" w:leader="underscore" w:pos="9639"/>
        </w:tabs>
        <w:spacing w:after="0" w:line="240" w:lineRule="auto"/>
        <w:jc w:val="both"/>
        <w:rPr>
          <w:rFonts w:cs="Calibri"/>
        </w:rPr>
      </w:pPr>
      <w:r>
        <w:rPr>
          <w:rFonts w:cs="Calibri"/>
        </w:rPr>
        <w:t xml:space="preserve">• </w:t>
      </w:r>
      <w:r w:rsidRPr="00467FFD">
        <w:rPr>
          <w:rFonts w:cs="Calibri"/>
        </w:rPr>
        <w:t xml:space="preserve">Acuerdo por el que se armoniza la estructura de cuentas públicas. </w:t>
      </w:r>
    </w:p>
    <w:p w14:paraId="5FA71CAA" w14:textId="77777777" w:rsidR="00467FFD" w:rsidRPr="00467FFD" w:rsidRDefault="00467FFD" w:rsidP="00467FFD">
      <w:pPr>
        <w:tabs>
          <w:tab w:val="left" w:leader="underscore" w:pos="9639"/>
        </w:tabs>
        <w:spacing w:after="0" w:line="240" w:lineRule="auto"/>
        <w:jc w:val="both"/>
        <w:rPr>
          <w:rFonts w:cs="Calibri"/>
        </w:rPr>
      </w:pPr>
    </w:p>
    <w:p w14:paraId="06D85B88" w14:textId="09B5AB28" w:rsidR="00467FFD" w:rsidRPr="00467FFD" w:rsidRDefault="00467FFD" w:rsidP="00467FFD">
      <w:pPr>
        <w:tabs>
          <w:tab w:val="left" w:leader="underscore" w:pos="9639"/>
        </w:tabs>
        <w:spacing w:after="0" w:line="240" w:lineRule="auto"/>
        <w:jc w:val="both"/>
        <w:rPr>
          <w:rFonts w:cs="Calibri"/>
        </w:rPr>
      </w:pPr>
      <w:r w:rsidRPr="00467FFD">
        <w:rPr>
          <w:rFonts w:cs="Calibri"/>
        </w:rPr>
        <w:t>i) Reclasificaciones: Se deben revelar todos aquellos movimientos entre cuentas por efectos de cambios en los tipos de operaciones:</w:t>
      </w:r>
    </w:p>
    <w:p w14:paraId="353C3351" w14:textId="660A00B8" w:rsidR="00467FFD" w:rsidRPr="00467FFD" w:rsidRDefault="00CF0773" w:rsidP="00467FFD">
      <w:pPr>
        <w:tabs>
          <w:tab w:val="left" w:leader="underscore" w:pos="9639"/>
        </w:tabs>
        <w:spacing w:after="0" w:line="240" w:lineRule="auto"/>
        <w:jc w:val="both"/>
        <w:rPr>
          <w:rFonts w:cs="Calibri"/>
        </w:rPr>
      </w:pPr>
      <w:r>
        <w:rPr>
          <w:rFonts w:cs="Calibri"/>
        </w:rPr>
        <w:t>Los estados financieros adjuntos no requieren de reclasificación alguna</w:t>
      </w:r>
      <w:r w:rsidR="00467FFD" w:rsidRPr="00467FFD">
        <w:rPr>
          <w:rFonts w:cs="Calibri"/>
        </w:rPr>
        <w:t xml:space="preserve">. </w:t>
      </w:r>
    </w:p>
    <w:p w14:paraId="2F1108C9" w14:textId="089AE463" w:rsidR="00467FFD" w:rsidRPr="00467FFD" w:rsidRDefault="00467FFD" w:rsidP="00467FFD">
      <w:pPr>
        <w:tabs>
          <w:tab w:val="left" w:leader="underscore" w:pos="9639"/>
        </w:tabs>
        <w:spacing w:after="0" w:line="240" w:lineRule="auto"/>
        <w:jc w:val="both"/>
        <w:rPr>
          <w:rFonts w:cs="Calibri"/>
        </w:rPr>
      </w:pPr>
    </w:p>
    <w:p w14:paraId="584EBBB3" w14:textId="7CFE34F8" w:rsidR="00467FFD" w:rsidRPr="00467FFD" w:rsidRDefault="00467FFD" w:rsidP="00467FFD">
      <w:pPr>
        <w:tabs>
          <w:tab w:val="left" w:leader="underscore" w:pos="9639"/>
        </w:tabs>
        <w:spacing w:after="0" w:line="240" w:lineRule="auto"/>
        <w:jc w:val="both"/>
        <w:rPr>
          <w:rFonts w:cs="Calibri"/>
        </w:rPr>
      </w:pPr>
      <w:r w:rsidRPr="00467FFD">
        <w:rPr>
          <w:rFonts w:cs="Calibri"/>
        </w:rPr>
        <w:t>j) Depuración y cancelación de saldos:</w:t>
      </w:r>
    </w:p>
    <w:p w14:paraId="7D06B360" w14:textId="61D6D8D2" w:rsidR="007D1E76" w:rsidRPr="00E74967" w:rsidRDefault="00467FFD" w:rsidP="00467FFD">
      <w:pPr>
        <w:tabs>
          <w:tab w:val="left" w:leader="underscore" w:pos="9639"/>
        </w:tabs>
        <w:spacing w:after="0" w:line="240" w:lineRule="auto"/>
        <w:jc w:val="both"/>
        <w:rPr>
          <w:rFonts w:cs="Calibri"/>
        </w:rPr>
      </w:pPr>
      <w:r w:rsidRPr="00467FFD">
        <w:rPr>
          <w:rFonts w:cs="Calibri"/>
        </w:rPr>
        <w:t xml:space="preserve">De manera </w:t>
      </w:r>
      <w:r w:rsidR="00CF0773">
        <w:rPr>
          <w:rFonts w:cs="Calibri"/>
        </w:rPr>
        <w:t>anual</w:t>
      </w:r>
      <w:r w:rsidRPr="00467FFD">
        <w:rPr>
          <w:rFonts w:cs="Calibri"/>
        </w:rPr>
        <w:t>, se concilian y depuran las cuentas contables.</w:t>
      </w:r>
    </w:p>
    <w:p w14:paraId="051C6058" w14:textId="68D6B912" w:rsidR="00E00323" w:rsidRDefault="00E00323" w:rsidP="00CB41C4">
      <w:pPr>
        <w:tabs>
          <w:tab w:val="left" w:leader="underscore" w:pos="9639"/>
        </w:tabs>
        <w:spacing w:after="0" w:line="240" w:lineRule="auto"/>
        <w:jc w:val="both"/>
        <w:rPr>
          <w:rFonts w:cs="Calibri"/>
        </w:rPr>
      </w:pPr>
    </w:p>
    <w:p w14:paraId="1086E93E" w14:textId="77777777" w:rsidR="00CF0773" w:rsidRPr="00E74967" w:rsidRDefault="00CF0773" w:rsidP="00CB41C4">
      <w:pPr>
        <w:tabs>
          <w:tab w:val="left" w:leader="underscore" w:pos="9639"/>
        </w:tabs>
        <w:spacing w:after="0" w:line="240" w:lineRule="auto"/>
        <w:jc w:val="both"/>
        <w:rPr>
          <w:rFonts w:cs="Calibri"/>
        </w:rPr>
      </w:pPr>
    </w:p>
    <w:p w14:paraId="2CA8BAC1" w14:textId="6C90122D" w:rsidR="007D1E76" w:rsidRPr="000C3365" w:rsidRDefault="00923B37" w:rsidP="000C3365">
      <w:pPr>
        <w:pStyle w:val="Ttulo2"/>
        <w:rPr>
          <w:rFonts w:asciiTheme="minorHAnsi" w:hAnsiTheme="minorHAnsi" w:cstheme="minorHAnsi"/>
          <w:b/>
          <w:color w:val="auto"/>
          <w:sz w:val="22"/>
        </w:rPr>
      </w:pPr>
      <w:bookmarkStart w:id="6" w:name="_Toc508279627"/>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3341AA54" w14:textId="21D8AA27" w:rsidR="00CF0773" w:rsidRPr="00CF0773" w:rsidRDefault="00CF0773" w:rsidP="00CF0773">
      <w:pPr>
        <w:tabs>
          <w:tab w:val="left" w:leader="underscore" w:pos="9639"/>
        </w:tabs>
        <w:spacing w:after="0" w:line="240" w:lineRule="auto"/>
        <w:jc w:val="both"/>
        <w:rPr>
          <w:rFonts w:cs="Calibri"/>
        </w:rPr>
      </w:pPr>
      <w:r w:rsidRPr="00CF0773">
        <w:rPr>
          <w:rFonts w:cs="Calibri"/>
        </w:rPr>
        <w:t>a</w:t>
      </w:r>
      <w:r w:rsidR="008862CA">
        <w:rPr>
          <w:rFonts w:cs="Calibri"/>
        </w:rPr>
        <w:t>) Activos en moneda extranjera:</w:t>
      </w:r>
    </w:p>
    <w:p w14:paraId="79302FA7" w14:textId="29CF3040" w:rsidR="00CF0773" w:rsidRPr="00CF0773" w:rsidRDefault="00CF0773" w:rsidP="00CF0773">
      <w:pPr>
        <w:tabs>
          <w:tab w:val="left" w:leader="underscore" w:pos="9639"/>
        </w:tabs>
        <w:spacing w:after="0" w:line="240" w:lineRule="auto"/>
        <w:jc w:val="both"/>
        <w:rPr>
          <w:rFonts w:cs="Calibri"/>
        </w:rPr>
      </w:pPr>
      <w:r w:rsidRPr="00CF0773">
        <w:rPr>
          <w:rFonts w:cs="Calibri"/>
        </w:rPr>
        <w:t xml:space="preserve">El </w:t>
      </w:r>
      <w:r>
        <w:rPr>
          <w:rFonts w:cs="Calibri"/>
        </w:rPr>
        <w:t>Parque Metropolitano</w:t>
      </w:r>
      <w:r w:rsidRPr="00CF0773">
        <w:rPr>
          <w:rFonts w:cs="Calibri"/>
        </w:rPr>
        <w:t xml:space="preserve"> no cuenta con activos en moneda extranjera.</w:t>
      </w:r>
    </w:p>
    <w:p w14:paraId="48A12363" w14:textId="77777777" w:rsidR="00CF0773" w:rsidRPr="00CF0773" w:rsidRDefault="00CF0773" w:rsidP="00CF0773">
      <w:pPr>
        <w:tabs>
          <w:tab w:val="left" w:leader="underscore" w:pos="9639"/>
        </w:tabs>
        <w:spacing w:after="0" w:line="240" w:lineRule="auto"/>
        <w:jc w:val="both"/>
        <w:rPr>
          <w:rFonts w:cs="Calibri"/>
        </w:rPr>
      </w:pPr>
    </w:p>
    <w:p w14:paraId="29C0C7D2" w14:textId="7F32E860" w:rsidR="00CF0773" w:rsidRPr="00CF0773" w:rsidRDefault="00CF0773" w:rsidP="00CF0773">
      <w:pPr>
        <w:tabs>
          <w:tab w:val="left" w:leader="underscore" w:pos="9639"/>
        </w:tabs>
        <w:spacing w:after="0" w:line="240" w:lineRule="auto"/>
        <w:jc w:val="both"/>
        <w:rPr>
          <w:rFonts w:cs="Calibri"/>
        </w:rPr>
      </w:pPr>
      <w:r w:rsidRPr="00CF0773">
        <w:rPr>
          <w:rFonts w:cs="Calibri"/>
        </w:rPr>
        <w:t>b</w:t>
      </w:r>
      <w:r w:rsidR="008862CA">
        <w:rPr>
          <w:rFonts w:cs="Calibri"/>
        </w:rPr>
        <w:t>) Pasivos en moneda extranjera:</w:t>
      </w:r>
    </w:p>
    <w:p w14:paraId="63BE927D" w14:textId="187EDA57" w:rsidR="00CF0773" w:rsidRPr="00CF0773" w:rsidRDefault="00CF0773" w:rsidP="00CF0773">
      <w:pPr>
        <w:tabs>
          <w:tab w:val="left" w:leader="underscore" w:pos="9639"/>
        </w:tabs>
        <w:spacing w:after="0" w:line="240" w:lineRule="auto"/>
        <w:jc w:val="both"/>
        <w:rPr>
          <w:rFonts w:cs="Calibri"/>
        </w:rPr>
      </w:pPr>
      <w:r w:rsidRPr="00CF0773">
        <w:rPr>
          <w:rFonts w:cs="Calibri"/>
        </w:rPr>
        <w:t xml:space="preserve">El </w:t>
      </w:r>
      <w:r>
        <w:rPr>
          <w:rFonts w:cs="Calibri"/>
        </w:rPr>
        <w:t>Parque Metropolitano</w:t>
      </w:r>
      <w:r w:rsidRPr="00CF0773">
        <w:rPr>
          <w:rFonts w:cs="Calibri"/>
        </w:rPr>
        <w:t xml:space="preserve"> no cuenta con pasivos en moneda extranjera.</w:t>
      </w:r>
    </w:p>
    <w:p w14:paraId="21069F07" w14:textId="77777777" w:rsidR="00CF0773" w:rsidRPr="00CF0773" w:rsidRDefault="00CF0773" w:rsidP="00CF0773">
      <w:pPr>
        <w:tabs>
          <w:tab w:val="left" w:leader="underscore" w:pos="9639"/>
        </w:tabs>
        <w:spacing w:after="0" w:line="240" w:lineRule="auto"/>
        <w:jc w:val="both"/>
        <w:rPr>
          <w:rFonts w:cs="Calibri"/>
        </w:rPr>
      </w:pPr>
    </w:p>
    <w:p w14:paraId="6D869873" w14:textId="13D18C6B" w:rsidR="00CF0773" w:rsidRPr="00CF0773" w:rsidRDefault="00CF0773" w:rsidP="00CF0773">
      <w:pPr>
        <w:tabs>
          <w:tab w:val="left" w:leader="underscore" w:pos="9639"/>
        </w:tabs>
        <w:spacing w:after="0" w:line="240" w:lineRule="auto"/>
        <w:jc w:val="both"/>
        <w:rPr>
          <w:rFonts w:cs="Calibri"/>
        </w:rPr>
      </w:pPr>
      <w:r w:rsidRPr="00CF0773">
        <w:rPr>
          <w:rFonts w:cs="Calibri"/>
        </w:rPr>
        <w:t>c)</w:t>
      </w:r>
      <w:r w:rsidR="008862CA">
        <w:rPr>
          <w:rFonts w:cs="Calibri"/>
        </w:rPr>
        <w:t xml:space="preserve"> Posición en moneda extranjera:</w:t>
      </w:r>
    </w:p>
    <w:p w14:paraId="5F93673E" w14:textId="41AFB396" w:rsidR="00CF0773" w:rsidRPr="00CF0773" w:rsidRDefault="00CF0773" w:rsidP="00CF0773">
      <w:pPr>
        <w:tabs>
          <w:tab w:val="left" w:leader="underscore" w:pos="9639"/>
        </w:tabs>
        <w:spacing w:after="0" w:line="240" w:lineRule="auto"/>
        <w:jc w:val="both"/>
        <w:rPr>
          <w:rFonts w:cs="Calibri"/>
        </w:rPr>
      </w:pPr>
      <w:r w:rsidRPr="00CF0773">
        <w:rPr>
          <w:rFonts w:cs="Calibri"/>
        </w:rPr>
        <w:lastRenderedPageBreak/>
        <w:t xml:space="preserve">Posición extranjera del </w:t>
      </w:r>
      <w:r>
        <w:rPr>
          <w:rFonts w:cs="Calibri"/>
        </w:rPr>
        <w:t>Parque Metropolitano</w:t>
      </w:r>
      <w:r w:rsidR="00923B37">
        <w:rPr>
          <w:rFonts w:cs="Calibri"/>
        </w:rPr>
        <w:t xml:space="preserve"> es de valor de</w:t>
      </w:r>
      <w:r w:rsidRPr="00CF0773">
        <w:rPr>
          <w:rFonts w:cs="Calibri"/>
        </w:rPr>
        <w:t xml:space="preserve"> $0.00, </w:t>
      </w:r>
      <w:proofErr w:type="gramStart"/>
      <w:r w:rsidRPr="00CF0773">
        <w:rPr>
          <w:rFonts w:cs="Calibri"/>
        </w:rPr>
        <w:t>en razón de</w:t>
      </w:r>
      <w:proofErr w:type="gramEnd"/>
      <w:r w:rsidRPr="00CF0773">
        <w:rPr>
          <w:rFonts w:cs="Calibri"/>
        </w:rPr>
        <w:t xml:space="preserve"> que no tiene activos o pasivos monetarios en el extranjero</w:t>
      </w:r>
      <w:r w:rsidR="00923B37">
        <w:rPr>
          <w:rFonts w:cs="Calibri"/>
        </w:rPr>
        <w:t>.</w:t>
      </w:r>
    </w:p>
    <w:p w14:paraId="34EC8BEB" w14:textId="77777777" w:rsidR="00CF0773" w:rsidRPr="00CF0773" w:rsidRDefault="00CF0773" w:rsidP="00CF0773">
      <w:pPr>
        <w:tabs>
          <w:tab w:val="left" w:leader="underscore" w:pos="9639"/>
        </w:tabs>
        <w:spacing w:after="0" w:line="240" w:lineRule="auto"/>
        <w:jc w:val="both"/>
        <w:rPr>
          <w:rFonts w:cs="Calibri"/>
        </w:rPr>
      </w:pPr>
    </w:p>
    <w:p w14:paraId="0024BEED" w14:textId="3B45B181" w:rsidR="00CF0773" w:rsidRPr="00CF0773" w:rsidRDefault="008862CA" w:rsidP="00CF0773">
      <w:pPr>
        <w:tabs>
          <w:tab w:val="left" w:leader="underscore" w:pos="9639"/>
        </w:tabs>
        <w:spacing w:after="0" w:line="240" w:lineRule="auto"/>
        <w:jc w:val="both"/>
        <w:rPr>
          <w:rFonts w:cs="Calibri"/>
        </w:rPr>
      </w:pPr>
      <w:r>
        <w:rPr>
          <w:rFonts w:cs="Calibri"/>
        </w:rPr>
        <w:t>d) Tipo de cambio:</w:t>
      </w:r>
    </w:p>
    <w:p w14:paraId="1CBD472B" w14:textId="0EE30223" w:rsidR="00CF0773" w:rsidRPr="00CF0773" w:rsidRDefault="00CF0773" w:rsidP="00CF0773">
      <w:pPr>
        <w:tabs>
          <w:tab w:val="left" w:leader="underscore" w:pos="9639"/>
        </w:tabs>
        <w:spacing w:after="0" w:line="240" w:lineRule="auto"/>
        <w:jc w:val="both"/>
        <w:rPr>
          <w:rFonts w:cs="Calibri"/>
        </w:rPr>
      </w:pPr>
      <w:r w:rsidRPr="00CF0773">
        <w:rPr>
          <w:rFonts w:cs="Calibri"/>
        </w:rPr>
        <w:t xml:space="preserve">El </w:t>
      </w:r>
      <w:r>
        <w:rPr>
          <w:rFonts w:cs="Calibri"/>
        </w:rPr>
        <w:t>Parque Metropolitano</w:t>
      </w:r>
      <w:r w:rsidRPr="00CF0773">
        <w:rPr>
          <w:rFonts w:cs="Calibri"/>
        </w:rPr>
        <w:t xml:space="preserve"> no cuenta con Activos y Pasivos en </w:t>
      </w:r>
      <w:r w:rsidR="0090761E">
        <w:rPr>
          <w:rFonts w:cs="Calibri"/>
        </w:rPr>
        <w:t>m</w:t>
      </w:r>
      <w:r w:rsidRPr="00CF0773">
        <w:rPr>
          <w:rFonts w:cs="Calibri"/>
        </w:rPr>
        <w:t xml:space="preserve">oneda extranjera, por lo </w:t>
      </w:r>
      <w:r w:rsidR="00923B37" w:rsidRPr="00CF0773">
        <w:rPr>
          <w:rFonts w:cs="Calibri"/>
        </w:rPr>
        <w:t>tanto,</w:t>
      </w:r>
      <w:r w:rsidRPr="00CF0773">
        <w:rPr>
          <w:rFonts w:cs="Calibri"/>
        </w:rPr>
        <w:t xml:space="preserve"> no tenemos información que revelar referente al tipo de cambio.</w:t>
      </w:r>
    </w:p>
    <w:p w14:paraId="245FF186" w14:textId="77777777" w:rsidR="00CF0773" w:rsidRPr="00CF0773" w:rsidRDefault="00CF0773" w:rsidP="00CF0773">
      <w:pPr>
        <w:tabs>
          <w:tab w:val="left" w:leader="underscore" w:pos="9639"/>
        </w:tabs>
        <w:spacing w:after="0" w:line="240" w:lineRule="auto"/>
        <w:jc w:val="both"/>
        <w:rPr>
          <w:rFonts w:cs="Calibri"/>
        </w:rPr>
      </w:pPr>
    </w:p>
    <w:p w14:paraId="0A734899" w14:textId="589F5F35" w:rsidR="00CF0773" w:rsidRPr="00CF0773" w:rsidRDefault="00CF0773" w:rsidP="00CF0773">
      <w:pPr>
        <w:tabs>
          <w:tab w:val="left" w:leader="underscore" w:pos="9639"/>
        </w:tabs>
        <w:spacing w:after="0" w:line="240" w:lineRule="auto"/>
        <w:jc w:val="both"/>
        <w:rPr>
          <w:rFonts w:cs="Calibri"/>
        </w:rPr>
      </w:pPr>
      <w:r w:rsidRPr="00CF0773">
        <w:rPr>
          <w:rFonts w:cs="Calibri"/>
        </w:rPr>
        <w:t>e) E</w:t>
      </w:r>
      <w:r>
        <w:rPr>
          <w:rFonts w:cs="Calibri"/>
        </w:rPr>
        <w:t>quivalente en moneda nacional:</w:t>
      </w:r>
    </w:p>
    <w:p w14:paraId="5D7BA233" w14:textId="6277D73F" w:rsidR="007D1E76" w:rsidRPr="00E74967" w:rsidRDefault="00CF0773" w:rsidP="00CF0773">
      <w:pPr>
        <w:tabs>
          <w:tab w:val="left" w:leader="underscore" w:pos="9639"/>
        </w:tabs>
        <w:spacing w:after="0" w:line="240" w:lineRule="auto"/>
        <w:jc w:val="both"/>
        <w:rPr>
          <w:rFonts w:cs="Calibri"/>
        </w:rPr>
      </w:pPr>
      <w:r w:rsidRPr="00CF0773">
        <w:rPr>
          <w:rFonts w:cs="Calibri"/>
        </w:rPr>
        <w:t xml:space="preserve">El </w:t>
      </w:r>
      <w:r>
        <w:rPr>
          <w:rFonts w:cs="Calibri"/>
        </w:rPr>
        <w:t>Parque Metropolitano</w:t>
      </w:r>
      <w:r w:rsidRPr="00CF0773">
        <w:rPr>
          <w:rFonts w:cs="Calibri"/>
        </w:rPr>
        <w:t xml:space="preserve"> no cuenta con Activos y Pasivos en </w:t>
      </w:r>
      <w:r w:rsidR="0090761E">
        <w:rPr>
          <w:rFonts w:cs="Calibri"/>
        </w:rPr>
        <w:t>m</w:t>
      </w:r>
      <w:r w:rsidRPr="00CF0773">
        <w:rPr>
          <w:rFonts w:cs="Calibri"/>
        </w:rPr>
        <w:t xml:space="preserve">oneda extranjera, por lo </w:t>
      </w:r>
      <w:r w:rsidR="00923B37" w:rsidRPr="00CF0773">
        <w:rPr>
          <w:rFonts w:cs="Calibri"/>
        </w:rPr>
        <w:t>tanto,</w:t>
      </w:r>
      <w:r w:rsidRPr="00CF0773">
        <w:rPr>
          <w:rFonts w:cs="Calibri"/>
        </w:rPr>
        <w:t xml:space="preserve"> no tenemos información que revelar, referente a la equivalencia en moneda nacional.</w:t>
      </w:r>
    </w:p>
    <w:p w14:paraId="6B0A6883" w14:textId="12D13262" w:rsidR="007D1E76" w:rsidRDefault="007D1E76" w:rsidP="00CB41C4">
      <w:pPr>
        <w:tabs>
          <w:tab w:val="left" w:leader="underscore" w:pos="9639"/>
        </w:tabs>
        <w:spacing w:after="0" w:line="240" w:lineRule="auto"/>
        <w:jc w:val="both"/>
        <w:rPr>
          <w:rFonts w:cs="Calibri"/>
        </w:rPr>
      </w:pPr>
    </w:p>
    <w:p w14:paraId="17BCEEF1" w14:textId="1238400C" w:rsidR="00CF0773" w:rsidRPr="00E74967" w:rsidRDefault="00CF0773" w:rsidP="00CB41C4">
      <w:pPr>
        <w:tabs>
          <w:tab w:val="left" w:leader="underscore" w:pos="9639"/>
        </w:tabs>
        <w:spacing w:after="0" w:line="240" w:lineRule="auto"/>
        <w:jc w:val="both"/>
        <w:rPr>
          <w:rFonts w:cs="Calibri"/>
        </w:rPr>
      </w:pPr>
    </w:p>
    <w:p w14:paraId="1C9AE80E" w14:textId="3C75A70B" w:rsidR="007D1E76" w:rsidRPr="008862CA" w:rsidRDefault="00923B37" w:rsidP="008862CA">
      <w:pPr>
        <w:pStyle w:val="Ttulo2"/>
        <w:rPr>
          <w:rFonts w:asciiTheme="minorHAnsi" w:hAnsiTheme="minorHAnsi" w:cstheme="minorHAnsi"/>
          <w:b/>
          <w:color w:val="auto"/>
          <w:sz w:val="22"/>
        </w:rPr>
      </w:pPr>
      <w:bookmarkStart w:id="7" w:name="_Toc508279628"/>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3B2509D0" w14:textId="203DEBEC" w:rsidR="00CF0773" w:rsidRDefault="00CF0773" w:rsidP="00CB41C4">
      <w:pPr>
        <w:tabs>
          <w:tab w:val="left" w:leader="underscore" w:pos="9639"/>
        </w:tabs>
        <w:spacing w:after="0" w:line="240" w:lineRule="auto"/>
        <w:jc w:val="both"/>
        <w:rPr>
          <w:rFonts w:cs="Calibri"/>
        </w:rPr>
      </w:pPr>
      <w:r w:rsidRPr="00CF0773">
        <w:rPr>
          <w:rFonts w:cs="Calibri"/>
        </w:rPr>
        <w:t xml:space="preserve">El </w:t>
      </w:r>
      <w:r>
        <w:rPr>
          <w:rFonts w:cs="Calibri"/>
        </w:rPr>
        <w:t>Parque Metropolitano</w:t>
      </w:r>
      <w:r w:rsidRPr="00CF0773">
        <w:rPr>
          <w:rFonts w:cs="Calibri"/>
        </w:rPr>
        <w:t xml:space="preserve"> considera las tasas de depreciación </w:t>
      </w:r>
      <w:proofErr w:type="gramStart"/>
      <w:r w:rsidRPr="00CF0773">
        <w:rPr>
          <w:rFonts w:cs="Calibri"/>
        </w:rPr>
        <w:t>de acuerdo a</w:t>
      </w:r>
      <w:proofErr w:type="gramEnd"/>
      <w:r w:rsidRPr="00CF0773">
        <w:rPr>
          <w:rFonts w:cs="Calibri"/>
        </w:rPr>
        <w:t xml:space="preserve"> los Parámetros de Estimación de Vida Útil, publicados en el Diario Oficial de fecha 15 de agosto de 2012.</w:t>
      </w:r>
    </w:p>
    <w:p w14:paraId="48970D6A" w14:textId="515F56E0" w:rsidR="00CF0773" w:rsidRDefault="00CF0773" w:rsidP="00CB41C4">
      <w:pPr>
        <w:tabs>
          <w:tab w:val="left" w:leader="underscore" w:pos="9639"/>
        </w:tabs>
        <w:spacing w:after="0" w:line="240" w:lineRule="auto"/>
        <w:jc w:val="both"/>
        <w:rPr>
          <w:rFonts w:cs="Calibri"/>
        </w:rPr>
      </w:pPr>
    </w:p>
    <w:tbl>
      <w:tblPr>
        <w:tblStyle w:val="Tablaconcuadrcula"/>
        <w:tblW w:w="9777" w:type="dxa"/>
        <w:jc w:val="center"/>
        <w:tblLayout w:type="fixed"/>
        <w:tblLook w:val="04A0" w:firstRow="1" w:lastRow="0" w:firstColumn="1" w:lastColumn="0" w:noHBand="0" w:noVBand="1"/>
      </w:tblPr>
      <w:tblGrid>
        <w:gridCol w:w="5665"/>
        <w:gridCol w:w="1276"/>
        <w:gridCol w:w="1418"/>
        <w:gridCol w:w="1418"/>
      </w:tblGrid>
      <w:tr w:rsidR="00CF0773" w:rsidRPr="007A6632" w14:paraId="1989C67A" w14:textId="77777777" w:rsidTr="00870B33">
        <w:trPr>
          <w:tblHeader/>
          <w:jc w:val="center"/>
        </w:trPr>
        <w:tc>
          <w:tcPr>
            <w:tcW w:w="5665" w:type="dxa"/>
            <w:shd w:val="clear" w:color="auto" w:fill="A5A5A5" w:themeFill="accent3"/>
          </w:tcPr>
          <w:p w14:paraId="1650660A" w14:textId="77777777" w:rsidR="00CF0773" w:rsidRPr="0054073A" w:rsidRDefault="00CF0773" w:rsidP="00870B33">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Nombre de la Cuenta</w:t>
            </w:r>
          </w:p>
        </w:tc>
        <w:tc>
          <w:tcPr>
            <w:tcW w:w="1276" w:type="dxa"/>
            <w:shd w:val="clear" w:color="auto" w:fill="A5A5A5" w:themeFill="accent3"/>
          </w:tcPr>
          <w:p w14:paraId="256754D1" w14:textId="77777777" w:rsidR="00CF0773" w:rsidRPr="0054073A" w:rsidRDefault="00CF0773" w:rsidP="00870B33">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Método</w:t>
            </w:r>
          </w:p>
        </w:tc>
        <w:tc>
          <w:tcPr>
            <w:tcW w:w="1418" w:type="dxa"/>
            <w:shd w:val="clear" w:color="auto" w:fill="A5A5A5" w:themeFill="accent3"/>
          </w:tcPr>
          <w:p w14:paraId="082D9ED6" w14:textId="77777777" w:rsidR="00CF0773" w:rsidRPr="0054073A" w:rsidRDefault="00CF0773" w:rsidP="00870B33">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Años de Vida Útil</w:t>
            </w:r>
          </w:p>
        </w:tc>
        <w:tc>
          <w:tcPr>
            <w:tcW w:w="1418" w:type="dxa"/>
            <w:shd w:val="clear" w:color="auto" w:fill="A5A5A5" w:themeFill="accent3"/>
          </w:tcPr>
          <w:p w14:paraId="5933211A" w14:textId="77777777" w:rsidR="00CF0773" w:rsidRPr="0054073A" w:rsidRDefault="00CF0773" w:rsidP="00870B33">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Tasa Aplicada</w:t>
            </w:r>
          </w:p>
        </w:tc>
      </w:tr>
      <w:tr w:rsidR="00CF0773" w:rsidRPr="007A6632" w14:paraId="0FDA8853" w14:textId="77777777" w:rsidTr="00870B33">
        <w:trPr>
          <w:jc w:val="center"/>
        </w:trPr>
        <w:tc>
          <w:tcPr>
            <w:tcW w:w="9777" w:type="dxa"/>
            <w:gridSpan w:val="4"/>
            <w:shd w:val="clear" w:color="auto" w:fill="EDEDED" w:themeFill="accent3" w:themeFillTint="33"/>
          </w:tcPr>
          <w:p w14:paraId="558FFC9A" w14:textId="77777777" w:rsidR="00CF0773" w:rsidRPr="0054073A" w:rsidRDefault="00CF0773" w:rsidP="00870B33">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 xml:space="preserve">Bienes </w:t>
            </w:r>
            <w:proofErr w:type="gramStart"/>
            <w:r w:rsidRPr="0054073A">
              <w:rPr>
                <w:rFonts w:asciiTheme="minorHAnsi" w:hAnsiTheme="minorHAnsi" w:cstheme="minorHAnsi"/>
                <w:b/>
                <w:sz w:val="20"/>
                <w:szCs w:val="20"/>
              </w:rPr>
              <w:t>Inmuebles ,</w:t>
            </w:r>
            <w:proofErr w:type="gramEnd"/>
            <w:r w:rsidRPr="0054073A">
              <w:rPr>
                <w:rFonts w:asciiTheme="minorHAnsi" w:hAnsiTheme="minorHAnsi" w:cstheme="minorHAnsi"/>
                <w:b/>
                <w:sz w:val="20"/>
                <w:szCs w:val="20"/>
              </w:rPr>
              <w:t xml:space="preserve"> Infraestructura y Construcciones en Proceso </w:t>
            </w:r>
          </w:p>
        </w:tc>
      </w:tr>
      <w:tr w:rsidR="00CF0773" w:rsidRPr="007A6632" w14:paraId="2930C3AE" w14:textId="77777777" w:rsidTr="00870B33">
        <w:trPr>
          <w:jc w:val="center"/>
        </w:trPr>
        <w:tc>
          <w:tcPr>
            <w:tcW w:w="5665" w:type="dxa"/>
          </w:tcPr>
          <w:p w14:paraId="4DAC8C9A"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Edificios no Habitacionales</w:t>
            </w:r>
          </w:p>
        </w:tc>
        <w:tc>
          <w:tcPr>
            <w:tcW w:w="1276" w:type="dxa"/>
          </w:tcPr>
          <w:p w14:paraId="6F9ACF7A" w14:textId="77777777" w:rsidR="00CF0773" w:rsidRPr="0054073A" w:rsidRDefault="00CF0773" w:rsidP="00870B33">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tcPr>
          <w:p w14:paraId="21166BDD"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30</w:t>
            </w:r>
          </w:p>
        </w:tc>
        <w:tc>
          <w:tcPr>
            <w:tcW w:w="1418" w:type="dxa"/>
          </w:tcPr>
          <w:p w14:paraId="7434D087" w14:textId="77777777" w:rsidR="00CF0773" w:rsidRPr="0054073A" w:rsidRDefault="00CF0773" w:rsidP="00870B33">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3.3%</w:t>
            </w:r>
          </w:p>
        </w:tc>
      </w:tr>
      <w:tr w:rsidR="00CF0773" w:rsidRPr="007A6632" w14:paraId="10709D20" w14:textId="77777777" w:rsidTr="00870B33">
        <w:trPr>
          <w:jc w:val="center"/>
        </w:trPr>
        <w:tc>
          <w:tcPr>
            <w:tcW w:w="9777" w:type="dxa"/>
            <w:gridSpan w:val="4"/>
            <w:shd w:val="clear" w:color="auto" w:fill="EDEDED" w:themeFill="accent3" w:themeFillTint="33"/>
          </w:tcPr>
          <w:p w14:paraId="4ECFAEC5" w14:textId="77777777" w:rsidR="00CF0773" w:rsidRPr="0054073A" w:rsidRDefault="00CF0773" w:rsidP="00870B33">
            <w:pPr>
              <w:tabs>
                <w:tab w:val="left" w:leader="underscore" w:pos="9639"/>
              </w:tabs>
              <w:spacing w:after="0" w:line="240" w:lineRule="auto"/>
              <w:rPr>
                <w:rFonts w:asciiTheme="minorHAnsi" w:hAnsiTheme="minorHAnsi" w:cstheme="minorHAnsi"/>
                <w:sz w:val="20"/>
                <w:szCs w:val="20"/>
              </w:rPr>
            </w:pPr>
            <w:r w:rsidRPr="0054073A">
              <w:rPr>
                <w:rFonts w:asciiTheme="minorHAnsi" w:hAnsiTheme="minorHAnsi" w:cstheme="minorHAnsi"/>
                <w:sz w:val="20"/>
                <w:szCs w:val="20"/>
              </w:rPr>
              <w:t>Bienes Muebles</w:t>
            </w:r>
          </w:p>
        </w:tc>
      </w:tr>
      <w:tr w:rsidR="00CF0773" w:rsidRPr="007A6632" w14:paraId="592391CC" w14:textId="77777777" w:rsidTr="00870B33">
        <w:trPr>
          <w:jc w:val="center"/>
        </w:trPr>
        <w:tc>
          <w:tcPr>
            <w:tcW w:w="5665" w:type="dxa"/>
          </w:tcPr>
          <w:p w14:paraId="4B489B22" w14:textId="77777777" w:rsidR="00CF0773" w:rsidRPr="0054073A" w:rsidRDefault="00CF0773" w:rsidP="00870B33">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de Administración</w:t>
            </w:r>
          </w:p>
        </w:tc>
        <w:tc>
          <w:tcPr>
            <w:tcW w:w="1276" w:type="dxa"/>
          </w:tcPr>
          <w:p w14:paraId="3B743E45"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p>
        </w:tc>
        <w:tc>
          <w:tcPr>
            <w:tcW w:w="1418" w:type="dxa"/>
          </w:tcPr>
          <w:p w14:paraId="7585AB83"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p>
        </w:tc>
        <w:tc>
          <w:tcPr>
            <w:tcW w:w="1418" w:type="dxa"/>
          </w:tcPr>
          <w:p w14:paraId="2411C79D"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p>
        </w:tc>
      </w:tr>
      <w:tr w:rsidR="00CF0773" w:rsidRPr="007A6632" w14:paraId="5CD79FF0" w14:textId="77777777" w:rsidTr="00870B33">
        <w:trPr>
          <w:jc w:val="center"/>
        </w:trPr>
        <w:tc>
          <w:tcPr>
            <w:tcW w:w="5665" w:type="dxa"/>
          </w:tcPr>
          <w:p w14:paraId="449D2F0D"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de Oficina y Estantería </w:t>
            </w:r>
          </w:p>
        </w:tc>
        <w:tc>
          <w:tcPr>
            <w:tcW w:w="1276" w:type="dxa"/>
          </w:tcPr>
          <w:p w14:paraId="5D22EDCC"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009906A"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29F5FC2A"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CF0773" w:rsidRPr="007A6632" w14:paraId="2BA04B72" w14:textId="77777777" w:rsidTr="00870B33">
        <w:trPr>
          <w:jc w:val="center"/>
        </w:trPr>
        <w:tc>
          <w:tcPr>
            <w:tcW w:w="5665" w:type="dxa"/>
          </w:tcPr>
          <w:p w14:paraId="571F9B5E"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Excepto de Oficina y Estantería</w:t>
            </w:r>
          </w:p>
        </w:tc>
        <w:tc>
          <w:tcPr>
            <w:tcW w:w="1276" w:type="dxa"/>
          </w:tcPr>
          <w:p w14:paraId="7298558A"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59167AA7"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4E6C4BAF"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CF0773" w:rsidRPr="007A6632" w14:paraId="1E36AAB6" w14:textId="77777777" w:rsidTr="00870B33">
        <w:trPr>
          <w:jc w:val="center"/>
        </w:trPr>
        <w:tc>
          <w:tcPr>
            <w:tcW w:w="5665" w:type="dxa"/>
          </w:tcPr>
          <w:p w14:paraId="3F7B2A35"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Equipo de Cómputo y de Tecnología de la Información </w:t>
            </w:r>
          </w:p>
        </w:tc>
        <w:tc>
          <w:tcPr>
            <w:tcW w:w="1276" w:type="dxa"/>
          </w:tcPr>
          <w:p w14:paraId="730F0C44"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35684D1"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4931FFFF"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CF0773" w:rsidRPr="007A6632" w14:paraId="61FD20E5" w14:textId="77777777" w:rsidTr="00870B33">
        <w:trPr>
          <w:jc w:val="center"/>
        </w:trPr>
        <w:tc>
          <w:tcPr>
            <w:tcW w:w="5665" w:type="dxa"/>
          </w:tcPr>
          <w:p w14:paraId="323FD020"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Otros Mobiliarios y Equipo de Administración </w:t>
            </w:r>
          </w:p>
        </w:tc>
        <w:tc>
          <w:tcPr>
            <w:tcW w:w="1276" w:type="dxa"/>
          </w:tcPr>
          <w:p w14:paraId="55202474"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4D236542"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61F07D20"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CF0773" w:rsidRPr="007A6632" w14:paraId="09680829" w14:textId="77777777" w:rsidTr="00870B33">
        <w:trPr>
          <w:jc w:val="center"/>
        </w:trPr>
        <w:tc>
          <w:tcPr>
            <w:tcW w:w="5665" w:type="dxa"/>
            <w:shd w:val="clear" w:color="auto" w:fill="EDEDED" w:themeFill="accent3" w:themeFillTint="33"/>
          </w:tcPr>
          <w:p w14:paraId="46E3DD17" w14:textId="77777777" w:rsidR="00CF0773" w:rsidRPr="0054073A" w:rsidRDefault="00CF0773" w:rsidP="00870B33">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Educacional y Recreativo</w:t>
            </w:r>
          </w:p>
        </w:tc>
        <w:tc>
          <w:tcPr>
            <w:tcW w:w="1276" w:type="dxa"/>
            <w:shd w:val="clear" w:color="auto" w:fill="EDEDED" w:themeFill="accent3" w:themeFillTint="33"/>
          </w:tcPr>
          <w:p w14:paraId="2EA58469" w14:textId="77777777" w:rsidR="00CF0773" w:rsidRPr="0054073A" w:rsidRDefault="00CF0773" w:rsidP="00870B33">
            <w:pPr>
              <w:tabs>
                <w:tab w:val="left" w:leader="underscore" w:pos="9639"/>
              </w:tabs>
              <w:spacing w:after="0" w:line="240" w:lineRule="auto"/>
              <w:jc w:val="both"/>
              <w:rPr>
                <w:rFonts w:asciiTheme="minorHAnsi" w:hAnsiTheme="minorHAnsi" w:cstheme="minorHAnsi"/>
                <w:b/>
                <w:sz w:val="20"/>
                <w:szCs w:val="20"/>
              </w:rPr>
            </w:pPr>
          </w:p>
        </w:tc>
        <w:tc>
          <w:tcPr>
            <w:tcW w:w="1418" w:type="dxa"/>
            <w:shd w:val="clear" w:color="auto" w:fill="EDEDED" w:themeFill="accent3" w:themeFillTint="33"/>
          </w:tcPr>
          <w:p w14:paraId="1ED58DCF"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p>
        </w:tc>
        <w:tc>
          <w:tcPr>
            <w:tcW w:w="1418" w:type="dxa"/>
            <w:shd w:val="clear" w:color="auto" w:fill="EDEDED" w:themeFill="accent3" w:themeFillTint="33"/>
          </w:tcPr>
          <w:p w14:paraId="01ADF3A1" w14:textId="77777777" w:rsidR="00CF0773" w:rsidRPr="0054073A" w:rsidRDefault="00CF0773" w:rsidP="00870B33">
            <w:pPr>
              <w:tabs>
                <w:tab w:val="left" w:leader="underscore" w:pos="9639"/>
              </w:tabs>
              <w:spacing w:after="0" w:line="240" w:lineRule="auto"/>
              <w:jc w:val="both"/>
              <w:rPr>
                <w:rFonts w:asciiTheme="minorHAnsi" w:hAnsiTheme="minorHAnsi" w:cstheme="minorHAnsi"/>
                <w:b/>
                <w:sz w:val="20"/>
                <w:szCs w:val="20"/>
              </w:rPr>
            </w:pPr>
          </w:p>
        </w:tc>
      </w:tr>
      <w:tr w:rsidR="00CF0773" w:rsidRPr="007A6632" w14:paraId="7E2F5C8F" w14:textId="77777777" w:rsidTr="00870B33">
        <w:trPr>
          <w:jc w:val="center"/>
        </w:trPr>
        <w:tc>
          <w:tcPr>
            <w:tcW w:w="5665" w:type="dxa"/>
          </w:tcPr>
          <w:p w14:paraId="770DC7DD"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Equipos y Aparatos Audiovisuales </w:t>
            </w:r>
          </w:p>
        </w:tc>
        <w:tc>
          <w:tcPr>
            <w:tcW w:w="1276" w:type="dxa"/>
          </w:tcPr>
          <w:p w14:paraId="66B9583E"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6F7B33E3"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648284D9"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CF0773" w:rsidRPr="007A6632" w14:paraId="16635830" w14:textId="77777777" w:rsidTr="00870B33">
        <w:trPr>
          <w:jc w:val="center"/>
        </w:trPr>
        <w:tc>
          <w:tcPr>
            <w:tcW w:w="5665" w:type="dxa"/>
          </w:tcPr>
          <w:p w14:paraId="79FED115"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Aparatos Deportivos</w:t>
            </w:r>
          </w:p>
        </w:tc>
        <w:tc>
          <w:tcPr>
            <w:tcW w:w="1276" w:type="dxa"/>
          </w:tcPr>
          <w:p w14:paraId="3FA80BA3"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2CD3538B"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4238C17B"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CF0773" w:rsidRPr="007A6632" w14:paraId="34321E7A" w14:textId="77777777" w:rsidTr="00870B33">
        <w:trPr>
          <w:jc w:val="center"/>
        </w:trPr>
        <w:tc>
          <w:tcPr>
            <w:tcW w:w="5665" w:type="dxa"/>
          </w:tcPr>
          <w:p w14:paraId="7C3AEE5E"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Cámaras Fotográficas y de Video</w:t>
            </w:r>
          </w:p>
        </w:tc>
        <w:tc>
          <w:tcPr>
            <w:tcW w:w="1276" w:type="dxa"/>
          </w:tcPr>
          <w:p w14:paraId="7BD7908B"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17D12334"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4D403B5C"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CF0773" w:rsidRPr="007A6632" w14:paraId="7E392313" w14:textId="77777777" w:rsidTr="00870B33">
        <w:trPr>
          <w:jc w:val="center"/>
        </w:trPr>
        <w:tc>
          <w:tcPr>
            <w:tcW w:w="5665" w:type="dxa"/>
          </w:tcPr>
          <w:p w14:paraId="01C7F0F0"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 Mobiliario y Equipo Educacional y Recreativo </w:t>
            </w:r>
          </w:p>
        </w:tc>
        <w:tc>
          <w:tcPr>
            <w:tcW w:w="1276" w:type="dxa"/>
          </w:tcPr>
          <w:p w14:paraId="6E72C6A8"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443BFFF6"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4CD7648C"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CF0773" w:rsidRPr="007A6632" w14:paraId="6F83C555" w14:textId="77777777" w:rsidTr="00870B33">
        <w:trPr>
          <w:jc w:val="center"/>
        </w:trPr>
        <w:tc>
          <w:tcPr>
            <w:tcW w:w="5665" w:type="dxa"/>
            <w:shd w:val="clear" w:color="auto" w:fill="EDEDED" w:themeFill="accent3" w:themeFillTint="33"/>
          </w:tcPr>
          <w:p w14:paraId="523E560C"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b/>
                <w:sz w:val="20"/>
                <w:szCs w:val="20"/>
              </w:rPr>
              <w:t>Maquinaria, Otros Equipos y Herramientas</w:t>
            </w:r>
          </w:p>
        </w:tc>
        <w:tc>
          <w:tcPr>
            <w:tcW w:w="1276" w:type="dxa"/>
            <w:shd w:val="clear" w:color="auto" w:fill="EDEDED" w:themeFill="accent3" w:themeFillTint="33"/>
          </w:tcPr>
          <w:p w14:paraId="3C77DD15" w14:textId="77777777" w:rsidR="00CF0773" w:rsidRPr="0054073A" w:rsidRDefault="00CF0773" w:rsidP="00870B33">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5D69367C"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shd w:val="clear" w:color="auto" w:fill="EDEDED" w:themeFill="accent3" w:themeFillTint="33"/>
          </w:tcPr>
          <w:p w14:paraId="285C144E" w14:textId="77777777" w:rsidR="00CF0773" w:rsidRPr="0054073A" w:rsidRDefault="00CF0773" w:rsidP="00870B33">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10.0%</w:t>
            </w:r>
          </w:p>
        </w:tc>
      </w:tr>
    </w:tbl>
    <w:p w14:paraId="5194B3A1" w14:textId="6F5D0BD7" w:rsidR="00CF0773" w:rsidRDefault="00CF0773" w:rsidP="00CB41C4">
      <w:pPr>
        <w:tabs>
          <w:tab w:val="left" w:leader="underscore" w:pos="9639"/>
        </w:tabs>
        <w:spacing w:after="0" w:line="240" w:lineRule="auto"/>
        <w:jc w:val="both"/>
        <w:rPr>
          <w:rFonts w:cs="Calibri"/>
        </w:rPr>
      </w:pPr>
    </w:p>
    <w:p w14:paraId="562A88B1" w14:textId="77777777" w:rsidR="00CF0773" w:rsidRPr="00CF0773" w:rsidRDefault="00CF0773" w:rsidP="00CF0773">
      <w:pPr>
        <w:tabs>
          <w:tab w:val="left" w:leader="underscore" w:pos="9639"/>
        </w:tabs>
        <w:spacing w:after="0" w:line="240" w:lineRule="auto"/>
        <w:jc w:val="both"/>
        <w:rPr>
          <w:rFonts w:cs="Calibri"/>
        </w:rPr>
      </w:pPr>
      <w:r w:rsidRPr="00CF0773">
        <w:rPr>
          <w:rFonts w:cs="Calibri"/>
        </w:rPr>
        <w:t>b) Cambios en el porcentaje de depreciación o valor residual de los activos:</w:t>
      </w:r>
    </w:p>
    <w:p w14:paraId="38CAD028" w14:textId="77777777" w:rsidR="00CF0773" w:rsidRPr="00CF0773" w:rsidRDefault="00CF0773" w:rsidP="00CF0773">
      <w:pPr>
        <w:tabs>
          <w:tab w:val="left" w:leader="underscore" w:pos="9639"/>
        </w:tabs>
        <w:spacing w:after="0" w:line="240" w:lineRule="auto"/>
        <w:jc w:val="both"/>
        <w:rPr>
          <w:rFonts w:cs="Calibri"/>
        </w:rPr>
      </w:pPr>
    </w:p>
    <w:p w14:paraId="57A070E9" w14:textId="5CACAAF7" w:rsidR="00CF0773" w:rsidRPr="00CF0773" w:rsidRDefault="00923B37" w:rsidP="00CF0773">
      <w:pPr>
        <w:tabs>
          <w:tab w:val="left" w:leader="underscore" w:pos="9639"/>
        </w:tabs>
        <w:spacing w:after="0" w:line="240" w:lineRule="auto"/>
        <w:jc w:val="both"/>
        <w:rPr>
          <w:rFonts w:cs="Calibri"/>
        </w:rPr>
      </w:pPr>
      <w:r>
        <w:rPr>
          <w:rFonts w:cs="Calibri"/>
        </w:rPr>
        <w:t xml:space="preserve">Durante el </w:t>
      </w:r>
      <w:r w:rsidR="003259B5">
        <w:rPr>
          <w:rFonts w:cs="Calibri"/>
        </w:rPr>
        <w:t>cuarto</w:t>
      </w:r>
      <w:r w:rsidR="00CF0773" w:rsidRPr="00CF0773">
        <w:rPr>
          <w:rFonts w:cs="Calibri"/>
        </w:rPr>
        <w:t xml:space="preserve"> trimestre del 202</w:t>
      </w:r>
      <w:r>
        <w:rPr>
          <w:rFonts w:cs="Calibri"/>
        </w:rPr>
        <w:t>4</w:t>
      </w:r>
      <w:r w:rsidR="00CF0773" w:rsidRPr="00CF0773">
        <w:rPr>
          <w:rFonts w:cs="Calibri"/>
        </w:rPr>
        <w:t>, no se han determinado cambios en el porcentaje de depreciación o valor residual de los activos.</w:t>
      </w:r>
    </w:p>
    <w:p w14:paraId="41188771" w14:textId="77777777" w:rsidR="00CF0773" w:rsidRPr="00CF0773" w:rsidRDefault="00CF0773" w:rsidP="00CF0773">
      <w:pPr>
        <w:tabs>
          <w:tab w:val="left" w:leader="underscore" w:pos="9639"/>
        </w:tabs>
        <w:spacing w:after="0" w:line="240" w:lineRule="auto"/>
        <w:jc w:val="both"/>
        <w:rPr>
          <w:rFonts w:cs="Calibri"/>
        </w:rPr>
      </w:pPr>
    </w:p>
    <w:p w14:paraId="6510C9FF" w14:textId="77777777" w:rsidR="00CF0773" w:rsidRPr="00CF0773" w:rsidRDefault="00CF0773" w:rsidP="00CF0773">
      <w:pPr>
        <w:tabs>
          <w:tab w:val="left" w:leader="underscore" w:pos="9639"/>
        </w:tabs>
        <w:spacing w:after="0" w:line="240" w:lineRule="auto"/>
        <w:jc w:val="both"/>
        <w:rPr>
          <w:rFonts w:cs="Calibri"/>
        </w:rPr>
      </w:pPr>
      <w:r w:rsidRPr="00CF0773">
        <w:rPr>
          <w:rFonts w:cs="Calibri"/>
        </w:rPr>
        <w:t>c) Importe de los gastos capitalizados en el ejercicio, tanto financieros como de investigación y desarrollo:</w:t>
      </w:r>
    </w:p>
    <w:p w14:paraId="50223492" w14:textId="77777777" w:rsidR="00CF0773" w:rsidRPr="00CF0773" w:rsidRDefault="00CF0773" w:rsidP="00CF0773">
      <w:pPr>
        <w:tabs>
          <w:tab w:val="left" w:leader="underscore" w:pos="9639"/>
        </w:tabs>
        <w:spacing w:after="0" w:line="240" w:lineRule="auto"/>
        <w:jc w:val="both"/>
        <w:rPr>
          <w:rFonts w:cs="Calibri"/>
        </w:rPr>
      </w:pPr>
    </w:p>
    <w:p w14:paraId="4B47A552" w14:textId="78EF4C04" w:rsidR="00CF0773" w:rsidRPr="00CF0773" w:rsidRDefault="00CF0773" w:rsidP="00CF0773">
      <w:pPr>
        <w:tabs>
          <w:tab w:val="left" w:leader="underscore" w:pos="9639"/>
        </w:tabs>
        <w:spacing w:after="0" w:line="240" w:lineRule="auto"/>
        <w:jc w:val="both"/>
        <w:rPr>
          <w:rFonts w:cs="Calibri"/>
        </w:rPr>
      </w:pPr>
      <w:r w:rsidRPr="00CF0773">
        <w:rPr>
          <w:rFonts w:cs="Calibri"/>
        </w:rPr>
        <w:t xml:space="preserve">En materia de gastos, no se llevó capitalización alguna, </w:t>
      </w:r>
      <w:proofErr w:type="gramStart"/>
      <w:r w:rsidRPr="00CF0773">
        <w:rPr>
          <w:rFonts w:cs="Calibri"/>
        </w:rPr>
        <w:t>en razón</w:t>
      </w:r>
      <w:r w:rsidR="0090761E">
        <w:rPr>
          <w:rFonts w:cs="Calibri"/>
        </w:rPr>
        <w:t xml:space="preserve"> </w:t>
      </w:r>
      <w:r w:rsidRPr="00CF0773">
        <w:rPr>
          <w:rFonts w:cs="Calibri"/>
        </w:rPr>
        <w:t>de</w:t>
      </w:r>
      <w:proofErr w:type="gramEnd"/>
      <w:r w:rsidRPr="00CF0773">
        <w:rPr>
          <w:rFonts w:cs="Calibri"/>
        </w:rPr>
        <w:t xml:space="preserve"> las erogaciones del </w:t>
      </w:r>
      <w:r>
        <w:rPr>
          <w:rFonts w:cs="Calibri"/>
        </w:rPr>
        <w:t>Parque Metropolitano</w:t>
      </w:r>
      <w:r w:rsidRPr="00CF0773">
        <w:rPr>
          <w:rFonts w:cs="Calibri"/>
        </w:rPr>
        <w:t xml:space="preserve"> no reunieron los requisitos para ser considerados como tal.</w:t>
      </w:r>
    </w:p>
    <w:p w14:paraId="169E244A" w14:textId="5A2CAFD7" w:rsidR="00CF0773" w:rsidRPr="00CF0773" w:rsidRDefault="00CF0773" w:rsidP="00CF0773">
      <w:pPr>
        <w:tabs>
          <w:tab w:val="left" w:leader="underscore" w:pos="9639"/>
        </w:tabs>
        <w:spacing w:after="0" w:line="240" w:lineRule="auto"/>
        <w:jc w:val="both"/>
        <w:rPr>
          <w:rFonts w:cs="Calibri"/>
        </w:rPr>
      </w:pPr>
    </w:p>
    <w:p w14:paraId="4BE2FB21" w14:textId="77777777" w:rsidR="00CF0773" w:rsidRPr="00CF0773" w:rsidRDefault="00CF0773" w:rsidP="00CF0773">
      <w:pPr>
        <w:tabs>
          <w:tab w:val="left" w:leader="underscore" w:pos="9639"/>
        </w:tabs>
        <w:spacing w:after="0" w:line="240" w:lineRule="auto"/>
        <w:jc w:val="both"/>
        <w:rPr>
          <w:rFonts w:cs="Calibri"/>
        </w:rPr>
      </w:pPr>
      <w:r w:rsidRPr="00CF0773">
        <w:rPr>
          <w:rFonts w:cs="Calibri"/>
        </w:rPr>
        <w:t>d) Riesgos por tipo de cambio o tipo de interés de las inversiones financieras:</w:t>
      </w:r>
    </w:p>
    <w:p w14:paraId="5DC90F6E" w14:textId="77777777" w:rsidR="00CF0773" w:rsidRPr="00CF0773" w:rsidRDefault="00CF0773" w:rsidP="00CF0773">
      <w:pPr>
        <w:tabs>
          <w:tab w:val="left" w:leader="underscore" w:pos="9639"/>
        </w:tabs>
        <w:spacing w:after="0" w:line="240" w:lineRule="auto"/>
        <w:jc w:val="both"/>
        <w:rPr>
          <w:rFonts w:cs="Calibri"/>
        </w:rPr>
      </w:pPr>
    </w:p>
    <w:p w14:paraId="0561E520" w14:textId="43DF3345" w:rsidR="00CF0773" w:rsidRPr="00CF0773" w:rsidRDefault="00CF0773" w:rsidP="00CF0773">
      <w:pPr>
        <w:tabs>
          <w:tab w:val="left" w:leader="underscore" w:pos="9639"/>
        </w:tabs>
        <w:spacing w:after="0" w:line="240" w:lineRule="auto"/>
        <w:jc w:val="both"/>
        <w:rPr>
          <w:rFonts w:cs="Calibri"/>
        </w:rPr>
      </w:pPr>
      <w:r w:rsidRPr="00CF0773">
        <w:rPr>
          <w:rFonts w:cs="Calibri"/>
        </w:rPr>
        <w:lastRenderedPageBreak/>
        <w:t xml:space="preserve">El </w:t>
      </w:r>
      <w:r>
        <w:rPr>
          <w:rFonts w:cs="Calibri"/>
        </w:rPr>
        <w:t>Parque Metropolitano</w:t>
      </w:r>
      <w:r w:rsidRPr="00CF0773">
        <w:rPr>
          <w:rFonts w:cs="Calibri"/>
        </w:rPr>
        <w:t xml:space="preserve">, no cuenta con Inversiones en moneda extranjera, todas las inversiones se realizan </w:t>
      </w:r>
      <w:proofErr w:type="gramStart"/>
      <w:r w:rsidRPr="00CF0773">
        <w:rPr>
          <w:rFonts w:cs="Calibri"/>
        </w:rPr>
        <w:t>de acuerdo a</w:t>
      </w:r>
      <w:proofErr w:type="gramEnd"/>
      <w:r w:rsidRPr="00CF0773">
        <w:rPr>
          <w:rFonts w:cs="Calibri"/>
        </w:rPr>
        <w:t xml:space="preserve"> los lineamientos establecidos por la Tesorería municipal, a tasa fija en papel bancario o títulos gubernamentales.</w:t>
      </w:r>
    </w:p>
    <w:p w14:paraId="179FC143" w14:textId="77777777" w:rsidR="00CF0773" w:rsidRPr="00CF0773" w:rsidRDefault="00CF0773" w:rsidP="00CF0773">
      <w:pPr>
        <w:tabs>
          <w:tab w:val="left" w:leader="underscore" w:pos="9639"/>
        </w:tabs>
        <w:spacing w:after="0" w:line="240" w:lineRule="auto"/>
        <w:jc w:val="both"/>
        <w:rPr>
          <w:rFonts w:cs="Calibri"/>
        </w:rPr>
      </w:pPr>
    </w:p>
    <w:p w14:paraId="66C5E980" w14:textId="77777777" w:rsidR="00CF0773" w:rsidRPr="00CF0773" w:rsidRDefault="00CF0773" w:rsidP="00CF0773">
      <w:pPr>
        <w:tabs>
          <w:tab w:val="left" w:leader="underscore" w:pos="9639"/>
        </w:tabs>
        <w:spacing w:after="0" w:line="240" w:lineRule="auto"/>
        <w:jc w:val="both"/>
        <w:rPr>
          <w:rFonts w:cs="Calibri"/>
        </w:rPr>
      </w:pPr>
      <w:r w:rsidRPr="00CF0773">
        <w:rPr>
          <w:rFonts w:cs="Calibri"/>
        </w:rPr>
        <w:t>e) Valor activado en el ejercicio de los bienes construidos por la entidad:</w:t>
      </w:r>
    </w:p>
    <w:p w14:paraId="519BBC40" w14:textId="77777777" w:rsidR="00CF0773" w:rsidRPr="00CF0773" w:rsidRDefault="00CF0773" w:rsidP="00CF0773">
      <w:pPr>
        <w:tabs>
          <w:tab w:val="left" w:leader="underscore" w:pos="9639"/>
        </w:tabs>
        <w:spacing w:after="0" w:line="240" w:lineRule="auto"/>
        <w:jc w:val="both"/>
        <w:rPr>
          <w:rFonts w:cs="Calibri"/>
        </w:rPr>
      </w:pPr>
    </w:p>
    <w:p w14:paraId="5E91BA8A" w14:textId="0EEB5396" w:rsidR="00CF0773" w:rsidRPr="00CF0773" w:rsidRDefault="00CF0773" w:rsidP="00CF0773">
      <w:pPr>
        <w:tabs>
          <w:tab w:val="left" w:leader="underscore" w:pos="9639"/>
        </w:tabs>
        <w:spacing w:after="0" w:line="240" w:lineRule="auto"/>
        <w:jc w:val="both"/>
        <w:rPr>
          <w:rFonts w:cs="Calibri"/>
        </w:rPr>
      </w:pPr>
      <w:r w:rsidRPr="00CF0773">
        <w:rPr>
          <w:rFonts w:cs="Calibri"/>
        </w:rPr>
        <w:t>El valor de los bienes construidos por la entidad se apega</w:t>
      </w:r>
      <w:r>
        <w:rPr>
          <w:rFonts w:cs="Calibri"/>
        </w:rPr>
        <w:t xml:space="preserve"> a</w:t>
      </w:r>
      <w:r w:rsidRPr="00CF0773">
        <w:rPr>
          <w:rFonts w:cs="Calibri"/>
        </w:rPr>
        <w:t xml:space="preserve"> lo que establecen las reglas del registro y valoración del Patrimonio. </w:t>
      </w:r>
    </w:p>
    <w:p w14:paraId="17AE316D" w14:textId="77777777" w:rsidR="00CF0773" w:rsidRPr="00CF0773" w:rsidRDefault="00CF0773" w:rsidP="00CF0773">
      <w:pPr>
        <w:tabs>
          <w:tab w:val="left" w:leader="underscore" w:pos="9639"/>
        </w:tabs>
        <w:spacing w:after="0" w:line="240" w:lineRule="auto"/>
        <w:jc w:val="both"/>
        <w:rPr>
          <w:rFonts w:cs="Calibri"/>
        </w:rPr>
      </w:pPr>
    </w:p>
    <w:p w14:paraId="10AAEEA7" w14:textId="415A7A9E" w:rsidR="00CF0773" w:rsidRPr="00CF0773" w:rsidRDefault="00CF0773" w:rsidP="00CF0773">
      <w:pPr>
        <w:tabs>
          <w:tab w:val="left" w:leader="underscore" w:pos="9639"/>
        </w:tabs>
        <w:spacing w:after="0" w:line="240" w:lineRule="auto"/>
        <w:jc w:val="both"/>
        <w:rPr>
          <w:rFonts w:cs="Calibri"/>
        </w:rPr>
      </w:pPr>
      <w:r w:rsidRPr="00CF0773">
        <w:rPr>
          <w:rFonts w:cs="Calibri"/>
        </w:rPr>
        <w:t xml:space="preserve">El </w:t>
      </w:r>
      <w:r>
        <w:rPr>
          <w:rFonts w:cs="Calibri"/>
        </w:rPr>
        <w:t>Parque Metropolitano</w:t>
      </w:r>
      <w:r w:rsidRPr="00CF0773">
        <w:rPr>
          <w:rFonts w:cs="Calibri"/>
        </w:rPr>
        <w:t xml:space="preserve"> en el ejercicio 202</w:t>
      </w:r>
      <w:r w:rsidR="00923B37">
        <w:rPr>
          <w:rFonts w:cs="Calibri"/>
        </w:rPr>
        <w:t>4</w:t>
      </w:r>
      <w:r w:rsidRPr="00CF0773">
        <w:rPr>
          <w:rFonts w:cs="Calibri"/>
        </w:rPr>
        <w:t xml:space="preserve"> no ha capitalizado obras en proceso en bienes inmuebles propios. </w:t>
      </w:r>
    </w:p>
    <w:p w14:paraId="3032047B" w14:textId="4C10763B" w:rsidR="00CF0773" w:rsidRPr="00CF0773" w:rsidRDefault="00CF0773" w:rsidP="00CF0773">
      <w:pPr>
        <w:tabs>
          <w:tab w:val="left" w:leader="underscore" w:pos="9639"/>
        </w:tabs>
        <w:spacing w:after="0" w:line="240" w:lineRule="auto"/>
        <w:jc w:val="both"/>
        <w:rPr>
          <w:rFonts w:cs="Calibri"/>
        </w:rPr>
      </w:pPr>
    </w:p>
    <w:p w14:paraId="09E2AA3E" w14:textId="77777777" w:rsidR="00CF0773" w:rsidRPr="00CF0773" w:rsidRDefault="00CF0773" w:rsidP="00CF0773">
      <w:pPr>
        <w:tabs>
          <w:tab w:val="left" w:leader="underscore" w:pos="9639"/>
        </w:tabs>
        <w:spacing w:after="0" w:line="240" w:lineRule="auto"/>
        <w:jc w:val="both"/>
        <w:rPr>
          <w:rFonts w:cs="Calibri"/>
        </w:rPr>
      </w:pPr>
      <w:r w:rsidRPr="00CF0773">
        <w:rPr>
          <w:rFonts w:cs="Calibri"/>
        </w:rPr>
        <w:t>f) Otras circunstancias de carácter significativo que afecten el activo, tales como bienes en garantía, señalados en embargos, litigios, títulos de inversiones entregados en garantías, baja significativa del valor de inversiones financieras, etc.:</w:t>
      </w:r>
    </w:p>
    <w:p w14:paraId="57A9D1E8" w14:textId="77777777" w:rsidR="00CF0773" w:rsidRPr="00CF0773" w:rsidRDefault="00CF0773" w:rsidP="00CF0773">
      <w:pPr>
        <w:tabs>
          <w:tab w:val="left" w:leader="underscore" w:pos="9639"/>
        </w:tabs>
        <w:spacing w:after="0" w:line="240" w:lineRule="auto"/>
        <w:jc w:val="both"/>
        <w:rPr>
          <w:rFonts w:cs="Calibri"/>
        </w:rPr>
      </w:pPr>
    </w:p>
    <w:p w14:paraId="309928BE" w14:textId="37CD6229" w:rsidR="00CF0773" w:rsidRPr="00CF0773" w:rsidRDefault="00CF0773" w:rsidP="00CF0773">
      <w:pPr>
        <w:tabs>
          <w:tab w:val="left" w:leader="underscore" w:pos="9639"/>
        </w:tabs>
        <w:spacing w:after="0" w:line="240" w:lineRule="auto"/>
        <w:jc w:val="both"/>
        <w:rPr>
          <w:rFonts w:cs="Calibri"/>
        </w:rPr>
      </w:pPr>
      <w:r w:rsidRPr="00CF0773">
        <w:rPr>
          <w:rFonts w:cs="Calibri"/>
        </w:rPr>
        <w:t>Durante el periodo comprendido en los presentes Estados Financiero, no han existido otras circunstancias de carácter signific</w:t>
      </w:r>
      <w:r>
        <w:rPr>
          <w:rFonts w:cs="Calibri"/>
        </w:rPr>
        <w:t>ativo que sea necesario revelar</w:t>
      </w:r>
      <w:r w:rsidRPr="00CF0773">
        <w:rPr>
          <w:rFonts w:cs="Calibri"/>
        </w:rPr>
        <w:t>.</w:t>
      </w:r>
    </w:p>
    <w:p w14:paraId="2E531FE4" w14:textId="2B96EE38" w:rsidR="00CF0773" w:rsidRPr="00CF0773" w:rsidRDefault="00CF0773" w:rsidP="00CF0773">
      <w:pPr>
        <w:tabs>
          <w:tab w:val="left" w:leader="underscore" w:pos="9639"/>
        </w:tabs>
        <w:spacing w:after="0" w:line="240" w:lineRule="auto"/>
        <w:jc w:val="both"/>
        <w:rPr>
          <w:rFonts w:cs="Calibri"/>
        </w:rPr>
      </w:pPr>
    </w:p>
    <w:p w14:paraId="45FB2BCB" w14:textId="77777777" w:rsidR="00CF0773" w:rsidRPr="00CF0773" w:rsidRDefault="00CF0773" w:rsidP="00CF0773">
      <w:pPr>
        <w:tabs>
          <w:tab w:val="left" w:leader="underscore" w:pos="9639"/>
        </w:tabs>
        <w:spacing w:after="0" w:line="240" w:lineRule="auto"/>
        <w:jc w:val="both"/>
        <w:rPr>
          <w:rFonts w:cs="Calibri"/>
        </w:rPr>
      </w:pPr>
      <w:r w:rsidRPr="00CF0773">
        <w:rPr>
          <w:rFonts w:cs="Calibri"/>
        </w:rPr>
        <w:t>g) Desmantelamiento de Activos, procedimientos, implicaciones, efectos contables:</w:t>
      </w:r>
    </w:p>
    <w:p w14:paraId="4FCBECE7" w14:textId="5728E80B" w:rsidR="00CF0773" w:rsidRDefault="00CF0773" w:rsidP="00CF0773">
      <w:pPr>
        <w:tabs>
          <w:tab w:val="left" w:leader="underscore" w:pos="9639"/>
        </w:tabs>
        <w:spacing w:after="0" w:line="240" w:lineRule="auto"/>
        <w:jc w:val="both"/>
        <w:rPr>
          <w:rFonts w:cs="Calibri"/>
        </w:rPr>
      </w:pPr>
    </w:p>
    <w:p w14:paraId="59D9970E" w14:textId="0FCE6394" w:rsidR="00CF0773" w:rsidRPr="00CF0773" w:rsidRDefault="00CF0773" w:rsidP="00CF0773">
      <w:pPr>
        <w:tabs>
          <w:tab w:val="left" w:leader="underscore" w:pos="9639"/>
        </w:tabs>
        <w:spacing w:after="0" w:line="240" w:lineRule="auto"/>
        <w:jc w:val="both"/>
        <w:rPr>
          <w:rFonts w:cs="Calibri"/>
        </w:rPr>
      </w:pPr>
      <w:r w:rsidRPr="00CF0773">
        <w:rPr>
          <w:rFonts w:cs="Calibri"/>
        </w:rPr>
        <w:t>Durante el periodo comprendido en los presentes Estados Financiero, no han existido desmantelamiento de activos, procedimientos, implicaciones y efectos contables que sean necesarios revelar</w:t>
      </w:r>
      <w:r>
        <w:rPr>
          <w:rFonts w:cs="Calibri"/>
        </w:rPr>
        <w:t>.</w:t>
      </w:r>
    </w:p>
    <w:p w14:paraId="0B4D9A42" w14:textId="77777777" w:rsidR="008862CA" w:rsidRDefault="008862CA" w:rsidP="00CF0773">
      <w:pPr>
        <w:tabs>
          <w:tab w:val="left" w:leader="underscore" w:pos="9639"/>
        </w:tabs>
        <w:spacing w:after="0" w:line="240" w:lineRule="auto"/>
        <w:jc w:val="both"/>
        <w:rPr>
          <w:rFonts w:cs="Calibri"/>
        </w:rPr>
      </w:pPr>
    </w:p>
    <w:p w14:paraId="1C3FA91F" w14:textId="5C52B3EB" w:rsidR="00CF0773" w:rsidRPr="00CF0773" w:rsidRDefault="00CF0773" w:rsidP="00CF0773">
      <w:pPr>
        <w:tabs>
          <w:tab w:val="left" w:leader="underscore" w:pos="9639"/>
        </w:tabs>
        <w:spacing w:after="0" w:line="240" w:lineRule="auto"/>
        <w:jc w:val="both"/>
        <w:rPr>
          <w:rFonts w:cs="Calibri"/>
        </w:rPr>
      </w:pPr>
      <w:r w:rsidRPr="00CF0773">
        <w:rPr>
          <w:rFonts w:cs="Calibri"/>
        </w:rPr>
        <w:t>h) Administración de activos</w:t>
      </w:r>
    </w:p>
    <w:p w14:paraId="771782A9" w14:textId="20CA90F7" w:rsidR="00923B37" w:rsidRPr="00923B37" w:rsidRDefault="00CF0773" w:rsidP="00923B37">
      <w:pPr>
        <w:tabs>
          <w:tab w:val="left" w:leader="underscore" w:pos="9639"/>
        </w:tabs>
        <w:spacing w:after="0" w:line="240" w:lineRule="auto"/>
        <w:jc w:val="both"/>
        <w:rPr>
          <w:rFonts w:cs="Calibri"/>
        </w:rPr>
      </w:pPr>
      <w:r>
        <w:rPr>
          <w:rFonts w:cs="Calibri"/>
        </w:rPr>
        <w:t>Esta nota es no aplicable para el Parque Metropolitano.</w:t>
      </w:r>
      <w:bookmarkStart w:id="8" w:name="_Toc508279629"/>
    </w:p>
    <w:p w14:paraId="7482B8B3" w14:textId="197D8612" w:rsidR="00923B37" w:rsidRDefault="00923B37" w:rsidP="00923B37">
      <w:pPr>
        <w:spacing w:after="0"/>
      </w:pPr>
    </w:p>
    <w:p w14:paraId="7F8D2B17" w14:textId="77777777" w:rsidR="00923B37" w:rsidRPr="00923B37" w:rsidRDefault="00923B37" w:rsidP="00923B37">
      <w:pPr>
        <w:spacing w:after="0"/>
      </w:pPr>
    </w:p>
    <w:p w14:paraId="5B412C86" w14:textId="0BE54F15" w:rsidR="007D1E76" w:rsidRPr="008862CA" w:rsidRDefault="00923B37" w:rsidP="008862CA">
      <w:pPr>
        <w:pStyle w:val="Ttulo2"/>
        <w:rPr>
          <w:rFonts w:asciiTheme="minorHAnsi" w:hAnsiTheme="minorHAnsi" w:cstheme="minorHAnsi"/>
          <w:b/>
          <w:color w:val="auto"/>
          <w:sz w:val="22"/>
        </w:rPr>
      </w:pPr>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75013493" w14:textId="3417D7B9" w:rsidR="00CF0773" w:rsidRPr="00E74967" w:rsidRDefault="00CF0773" w:rsidP="00CB41C4">
      <w:pPr>
        <w:tabs>
          <w:tab w:val="left" w:leader="underscore" w:pos="9639"/>
        </w:tabs>
        <w:spacing w:after="0" w:line="240" w:lineRule="auto"/>
        <w:jc w:val="both"/>
        <w:rPr>
          <w:rFonts w:cs="Calibri"/>
        </w:rPr>
      </w:pPr>
      <w:r w:rsidRPr="00DF3E45">
        <w:rPr>
          <w:rFonts w:cs="Calibri"/>
        </w:rPr>
        <w:t xml:space="preserve">El </w:t>
      </w:r>
      <w:r w:rsidR="008624DF" w:rsidRPr="00DF3E45">
        <w:rPr>
          <w:rFonts w:cs="Calibri"/>
        </w:rPr>
        <w:t>Parque Metropolitano</w:t>
      </w:r>
      <w:r w:rsidRPr="00DF3E45">
        <w:rPr>
          <w:rFonts w:cs="Calibri"/>
        </w:rPr>
        <w:t xml:space="preserve"> cuenta con el Fideicomiso de Inversión para la administración del fondo de ahorro, firmado el 16 de enero de 202</w:t>
      </w:r>
      <w:r w:rsidR="008862CA" w:rsidRPr="00DF3E45">
        <w:rPr>
          <w:rFonts w:cs="Calibri"/>
        </w:rPr>
        <w:t>3.</w:t>
      </w:r>
    </w:p>
    <w:p w14:paraId="5AE57259" w14:textId="50CFCFE1" w:rsidR="007D1E76" w:rsidRDefault="007D1E76" w:rsidP="00CB41C4">
      <w:pPr>
        <w:tabs>
          <w:tab w:val="left" w:leader="underscore" w:pos="9639"/>
        </w:tabs>
        <w:spacing w:after="0" w:line="240" w:lineRule="auto"/>
        <w:jc w:val="both"/>
        <w:rPr>
          <w:rFonts w:cs="Calibri"/>
        </w:rPr>
      </w:pPr>
    </w:p>
    <w:p w14:paraId="4F66BB96" w14:textId="77777777" w:rsidR="008862CA" w:rsidRPr="00E74967" w:rsidRDefault="008862CA" w:rsidP="00CB41C4">
      <w:pPr>
        <w:tabs>
          <w:tab w:val="left" w:leader="underscore" w:pos="9639"/>
        </w:tabs>
        <w:spacing w:after="0" w:line="240" w:lineRule="auto"/>
        <w:jc w:val="both"/>
        <w:rPr>
          <w:rFonts w:cs="Calibri"/>
        </w:rPr>
      </w:pPr>
    </w:p>
    <w:p w14:paraId="7C4CE7E2" w14:textId="727CDB15" w:rsidR="007D1E76" w:rsidRPr="008862CA" w:rsidRDefault="00923B37" w:rsidP="008862CA">
      <w:pPr>
        <w:pStyle w:val="Ttulo2"/>
        <w:rPr>
          <w:rFonts w:asciiTheme="minorHAnsi" w:hAnsiTheme="minorHAnsi" w:cstheme="minorHAnsi"/>
          <w:b/>
          <w:color w:val="auto"/>
          <w:sz w:val="22"/>
        </w:rPr>
      </w:pPr>
      <w:bookmarkStart w:id="9" w:name="_Toc508279630"/>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0D823D07" w14:textId="686EDA48" w:rsidR="008862CA" w:rsidRDefault="008862CA" w:rsidP="00CB41C4">
      <w:pPr>
        <w:tabs>
          <w:tab w:val="left" w:leader="underscore" w:pos="9639"/>
        </w:tabs>
        <w:spacing w:after="0" w:line="240" w:lineRule="auto"/>
        <w:jc w:val="both"/>
        <w:rPr>
          <w:rFonts w:cs="Calibri"/>
        </w:rPr>
      </w:pPr>
      <w:r>
        <w:rPr>
          <w:rFonts w:cs="Calibri"/>
        </w:rPr>
        <w:t>Los estados financieros adjuntos durante los periodos que se informa, no se han realizado operaciones de recaudación de impuestos.</w:t>
      </w:r>
    </w:p>
    <w:p w14:paraId="642562E9" w14:textId="14FBF7D5" w:rsidR="008862CA" w:rsidRDefault="008862CA" w:rsidP="00CB41C4">
      <w:pPr>
        <w:tabs>
          <w:tab w:val="left" w:leader="underscore" w:pos="9639"/>
        </w:tabs>
        <w:spacing w:after="0" w:line="240" w:lineRule="auto"/>
        <w:jc w:val="both"/>
        <w:rPr>
          <w:rFonts w:cs="Calibri"/>
        </w:rPr>
      </w:pPr>
    </w:p>
    <w:p w14:paraId="215F694B" w14:textId="77777777" w:rsidR="008862CA" w:rsidRPr="00E74967" w:rsidRDefault="008862CA" w:rsidP="00CB41C4">
      <w:pPr>
        <w:tabs>
          <w:tab w:val="left" w:leader="underscore" w:pos="9639"/>
        </w:tabs>
        <w:spacing w:after="0" w:line="240" w:lineRule="auto"/>
        <w:jc w:val="both"/>
        <w:rPr>
          <w:rFonts w:cs="Calibri"/>
        </w:rPr>
      </w:pPr>
    </w:p>
    <w:p w14:paraId="47A92FC9" w14:textId="5BCAE3A4" w:rsidR="007D1E76" w:rsidRPr="008862CA" w:rsidRDefault="007D1E76" w:rsidP="008862CA">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w:t>
      </w:r>
      <w:r w:rsidR="00923B37">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6F6773E1" w14:textId="45B8CC97" w:rsidR="008862CA" w:rsidRPr="00E74967" w:rsidRDefault="008862CA" w:rsidP="00CB41C4">
      <w:pPr>
        <w:tabs>
          <w:tab w:val="left" w:leader="underscore" w:pos="9639"/>
        </w:tabs>
        <w:spacing w:after="0" w:line="240" w:lineRule="auto"/>
        <w:jc w:val="both"/>
        <w:rPr>
          <w:rFonts w:cs="Calibri"/>
        </w:rPr>
      </w:pPr>
      <w:r w:rsidRPr="008862CA">
        <w:rPr>
          <w:rFonts w:cs="Calibri"/>
        </w:rPr>
        <w:t>Los estados financieros adjuntos durante los periodos que se informa, no se han realizado operaciones de deuda.</w:t>
      </w:r>
    </w:p>
    <w:p w14:paraId="409B1D78" w14:textId="3B18C372" w:rsidR="007D1E76" w:rsidRDefault="007D1E76" w:rsidP="00CB41C4">
      <w:pPr>
        <w:tabs>
          <w:tab w:val="left" w:leader="underscore" w:pos="9639"/>
        </w:tabs>
        <w:spacing w:after="0" w:line="240" w:lineRule="auto"/>
        <w:jc w:val="both"/>
        <w:rPr>
          <w:rFonts w:cs="Calibri"/>
        </w:rPr>
      </w:pPr>
    </w:p>
    <w:p w14:paraId="400EB578" w14:textId="77777777" w:rsidR="008862CA" w:rsidRPr="00E74967" w:rsidRDefault="008862CA" w:rsidP="00CB41C4">
      <w:pPr>
        <w:tabs>
          <w:tab w:val="left" w:leader="underscore" w:pos="9639"/>
        </w:tabs>
        <w:spacing w:after="0" w:line="240" w:lineRule="auto"/>
        <w:jc w:val="both"/>
        <w:rPr>
          <w:rFonts w:cs="Calibri"/>
        </w:rPr>
      </w:pPr>
    </w:p>
    <w:p w14:paraId="19C64A34" w14:textId="4852E79C"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lastRenderedPageBreak/>
        <w:t>1</w:t>
      </w:r>
      <w:r w:rsidR="00923B37">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9F25506" w14:textId="47CFC9E8" w:rsidR="007D1E76" w:rsidRDefault="008862CA" w:rsidP="00CB41C4">
      <w:pPr>
        <w:tabs>
          <w:tab w:val="left" w:leader="underscore" w:pos="9639"/>
        </w:tabs>
        <w:spacing w:after="0" w:line="240" w:lineRule="auto"/>
        <w:jc w:val="both"/>
        <w:rPr>
          <w:rFonts w:cs="Calibri"/>
        </w:rPr>
      </w:pPr>
      <w:r>
        <w:rPr>
          <w:rFonts w:cs="Calibri"/>
        </w:rPr>
        <w:t>Las calificaciones otorgadas al Municipio de León son las siguientes:</w:t>
      </w:r>
    </w:p>
    <w:p w14:paraId="26576221" w14:textId="77777777" w:rsidR="008862CA" w:rsidRPr="0008580C" w:rsidRDefault="008862CA" w:rsidP="008862CA">
      <w:pPr>
        <w:pStyle w:val="Prrafodelista"/>
        <w:numPr>
          <w:ilvl w:val="0"/>
          <w:numId w:val="8"/>
        </w:numPr>
        <w:tabs>
          <w:tab w:val="left" w:leader="underscore" w:pos="9639"/>
        </w:tabs>
        <w:spacing w:after="0" w:line="240" w:lineRule="auto"/>
        <w:jc w:val="both"/>
        <w:rPr>
          <w:rFonts w:asciiTheme="minorHAnsi" w:hAnsiTheme="minorHAnsi" w:cstheme="minorHAnsi"/>
        </w:rPr>
      </w:pPr>
      <w:r w:rsidRPr="0008580C">
        <w:rPr>
          <w:rFonts w:asciiTheme="minorHAnsi" w:hAnsiTheme="minorHAnsi" w:cstheme="minorHAnsi"/>
        </w:rPr>
        <w:t>Moody´s con fecha 26 de septiembre de 2023 Calificación AA+.mx estable.</w:t>
      </w:r>
    </w:p>
    <w:p w14:paraId="015C4A1C" w14:textId="77777777" w:rsidR="008862CA" w:rsidRPr="0008580C" w:rsidRDefault="008862CA" w:rsidP="008862CA">
      <w:pPr>
        <w:pStyle w:val="Prrafodelista"/>
        <w:numPr>
          <w:ilvl w:val="0"/>
          <w:numId w:val="8"/>
        </w:numPr>
        <w:tabs>
          <w:tab w:val="left" w:leader="underscore" w:pos="9639"/>
        </w:tabs>
        <w:spacing w:after="0" w:line="240" w:lineRule="auto"/>
        <w:jc w:val="both"/>
        <w:rPr>
          <w:rFonts w:asciiTheme="minorHAnsi" w:hAnsiTheme="minorHAnsi" w:cstheme="minorHAnsi"/>
        </w:rPr>
      </w:pPr>
      <w:r w:rsidRPr="0008580C">
        <w:rPr>
          <w:rFonts w:asciiTheme="minorHAnsi" w:hAnsiTheme="minorHAnsi" w:cstheme="minorHAnsi"/>
        </w:rPr>
        <w:t xml:space="preserve">S&amp;P Global con fecha 3 de noviembre de 2022 Calificación </w:t>
      </w:r>
      <w:proofErr w:type="spellStart"/>
      <w:r w:rsidRPr="0008580C">
        <w:rPr>
          <w:rFonts w:asciiTheme="minorHAnsi" w:hAnsiTheme="minorHAnsi" w:cstheme="minorHAnsi"/>
        </w:rPr>
        <w:t>mxAA</w:t>
      </w:r>
      <w:proofErr w:type="spellEnd"/>
      <w:r w:rsidRPr="0008580C">
        <w:rPr>
          <w:rFonts w:asciiTheme="minorHAnsi" w:hAnsiTheme="minorHAnsi" w:cstheme="minorHAnsi"/>
        </w:rPr>
        <w:t>+ estable.</w:t>
      </w:r>
    </w:p>
    <w:p w14:paraId="27A83FA1" w14:textId="73F4D22A" w:rsidR="008862CA" w:rsidRDefault="008862CA" w:rsidP="00CB41C4">
      <w:pPr>
        <w:tabs>
          <w:tab w:val="left" w:leader="underscore" w:pos="9639"/>
        </w:tabs>
        <w:spacing w:after="0" w:line="240" w:lineRule="auto"/>
        <w:jc w:val="both"/>
        <w:rPr>
          <w:rFonts w:cs="Calibri"/>
        </w:rPr>
      </w:pPr>
    </w:p>
    <w:p w14:paraId="34A8FD6C" w14:textId="3CA3CB29" w:rsidR="008862CA" w:rsidRPr="00E74967" w:rsidRDefault="008862CA" w:rsidP="00CB41C4">
      <w:pPr>
        <w:tabs>
          <w:tab w:val="left" w:leader="underscore" w:pos="9639"/>
        </w:tabs>
        <w:spacing w:after="0" w:line="240" w:lineRule="auto"/>
        <w:jc w:val="both"/>
        <w:rPr>
          <w:rFonts w:cs="Calibri"/>
        </w:rPr>
      </w:pPr>
    </w:p>
    <w:p w14:paraId="10B4C763" w14:textId="7A7244FB"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w:t>
      </w:r>
      <w:r w:rsidR="0034377D">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378CF7A6" w14:textId="35A4E59C" w:rsidR="008862CA" w:rsidRPr="008862CA" w:rsidRDefault="008862CA" w:rsidP="008862CA">
      <w:pPr>
        <w:tabs>
          <w:tab w:val="left" w:leader="underscore" w:pos="9639"/>
        </w:tabs>
        <w:spacing w:after="0" w:line="240" w:lineRule="auto"/>
        <w:jc w:val="both"/>
        <w:rPr>
          <w:rFonts w:cs="Calibri"/>
        </w:rPr>
      </w:pPr>
      <w:r w:rsidRPr="008862CA">
        <w:rPr>
          <w:rFonts w:cs="Calibri"/>
        </w:rPr>
        <w:t>Anualmente se revisan y se mejoran los procesos internos, mediante la actualización de los Manuales de Proce</w:t>
      </w:r>
      <w:r w:rsidR="00865336">
        <w:rPr>
          <w:rFonts w:cs="Calibri"/>
        </w:rPr>
        <w:t>sos y Procedimie</w:t>
      </w:r>
      <w:r w:rsidR="00DF3E45">
        <w:rPr>
          <w:rFonts w:cs="Calibri"/>
        </w:rPr>
        <w:t>n</w:t>
      </w:r>
      <w:r w:rsidR="00865336">
        <w:rPr>
          <w:rFonts w:cs="Calibri"/>
        </w:rPr>
        <w:t>tos</w:t>
      </w:r>
      <w:r w:rsidRPr="008862CA">
        <w:rPr>
          <w:rFonts w:cs="Calibri"/>
        </w:rPr>
        <w:t>.</w:t>
      </w:r>
    </w:p>
    <w:p w14:paraId="360559A5" w14:textId="77777777" w:rsidR="008862CA" w:rsidRPr="008862CA" w:rsidRDefault="008862CA" w:rsidP="008862CA">
      <w:pPr>
        <w:tabs>
          <w:tab w:val="left" w:leader="underscore" w:pos="9639"/>
        </w:tabs>
        <w:spacing w:after="0" w:line="240" w:lineRule="auto"/>
        <w:jc w:val="both"/>
        <w:rPr>
          <w:rFonts w:cs="Calibri"/>
        </w:rPr>
      </w:pPr>
    </w:p>
    <w:p w14:paraId="6CE7B7B7" w14:textId="77777777" w:rsidR="008862CA" w:rsidRPr="00E74967" w:rsidRDefault="008862CA" w:rsidP="00CB41C4">
      <w:pPr>
        <w:tabs>
          <w:tab w:val="left" w:leader="underscore" w:pos="9639"/>
        </w:tabs>
        <w:spacing w:after="0" w:line="240" w:lineRule="auto"/>
        <w:jc w:val="both"/>
        <w:rPr>
          <w:rFonts w:cs="Calibri"/>
        </w:rPr>
      </w:pPr>
    </w:p>
    <w:p w14:paraId="6C3C6A04" w14:textId="49AFB31F" w:rsidR="007D1E76" w:rsidRPr="008862CA" w:rsidRDefault="007D1E76" w:rsidP="008862CA">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34377D">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54078A60" w14:textId="3994A657" w:rsidR="007D1E76" w:rsidRPr="00E74967" w:rsidRDefault="008862CA" w:rsidP="00CB41C4">
      <w:pPr>
        <w:tabs>
          <w:tab w:val="left" w:leader="underscore" w:pos="9639"/>
        </w:tabs>
        <w:spacing w:after="0" w:line="240" w:lineRule="auto"/>
        <w:jc w:val="both"/>
        <w:rPr>
          <w:rFonts w:cs="Calibri"/>
        </w:rPr>
      </w:pPr>
      <w:r>
        <w:rPr>
          <w:rFonts w:cs="Calibri"/>
        </w:rPr>
        <w:t>El Parque Metropolitano no maneja actualmente una política de información por segmentos, sin embargo, se está en un proceso para segmentar la información relativa a los egresos.</w:t>
      </w:r>
    </w:p>
    <w:p w14:paraId="03BBF660" w14:textId="7542094C" w:rsidR="007D1E76" w:rsidRDefault="007D1E76" w:rsidP="00CB41C4">
      <w:pPr>
        <w:tabs>
          <w:tab w:val="left" w:leader="underscore" w:pos="9639"/>
        </w:tabs>
        <w:spacing w:after="0" w:line="240" w:lineRule="auto"/>
        <w:jc w:val="both"/>
        <w:rPr>
          <w:rFonts w:cs="Calibri"/>
        </w:rPr>
      </w:pPr>
    </w:p>
    <w:p w14:paraId="016B91F6" w14:textId="77777777" w:rsidR="008862CA" w:rsidRPr="00E74967" w:rsidRDefault="008862CA" w:rsidP="00CB41C4">
      <w:pPr>
        <w:tabs>
          <w:tab w:val="left" w:leader="underscore" w:pos="9639"/>
        </w:tabs>
        <w:spacing w:after="0" w:line="240" w:lineRule="auto"/>
        <w:jc w:val="both"/>
        <w:rPr>
          <w:rFonts w:cs="Calibri"/>
        </w:rPr>
      </w:pPr>
    </w:p>
    <w:p w14:paraId="362DF4F4" w14:textId="00436F9C" w:rsidR="007D1E76" w:rsidRPr="008862CA" w:rsidRDefault="007D1E76" w:rsidP="008862CA">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w:t>
      </w:r>
      <w:r w:rsidR="0034377D">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55D08D4D" w14:textId="47CEC19D" w:rsidR="007D1E76" w:rsidRDefault="008862CA" w:rsidP="00CB41C4">
      <w:pPr>
        <w:tabs>
          <w:tab w:val="left" w:leader="underscore" w:pos="9639"/>
        </w:tabs>
        <w:spacing w:after="0" w:line="240" w:lineRule="auto"/>
        <w:jc w:val="both"/>
        <w:rPr>
          <w:rFonts w:cs="Calibri"/>
        </w:rPr>
      </w:pPr>
      <w:r w:rsidRPr="008862CA">
        <w:rPr>
          <w:rFonts w:cs="Calibri"/>
        </w:rPr>
        <w:t>A la fecha de autorización de los estados financieros adjuntos durante los periodos que se informa, no existen hechos posteriores releva</w:t>
      </w:r>
      <w:r>
        <w:rPr>
          <w:rFonts w:cs="Calibri"/>
        </w:rPr>
        <w:t>ntes que sea necesario informar</w:t>
      </w:r>
      <w:r w:rsidR="005E231E" w:rsidRPr="00E74967">
        <w:rPr>
          <w:rFonts w:cs="Calibri"/>
        </w:rPr>
        <w:t>.</w:t>
      </w:r>
      <w:r w:rsidR="005E231E" w:rsidRPr="00E74967">
        <w:rPr>
          <w:rFonts w:cs="Calibri"/>
        </w:rPr>
        <w:cr/>
      </w:r>
    </w:p>
    <w:p w14:paraId="61E67DA6" w14:textId="77777777" w:rsidR="008862CA" w:rsidRPr="00E74967" w:rsidRDefault="008862CA" w:rsidP="00CB41C4">
      <w:pPr>
        <w:tabs>
          <w:tab w:val="left" w:leader="underscore" w:pos="9639"/>
        </w:tabs>
        <w:spacing w:after="0" w:line="240" w:lineRule="auto"/>
        <w:jc w:val="both"/>
        <w:rPr>
          <w:rFonts w:cs="Calibri"/>
        </w:rPr>
      </w:pPr>
    </w:p>
    <w:p w14:paraId="3CC9AECC" w14:textId="539D73A1"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w:t>
      </w:r>
      <w:r w:rsidR="0034377D">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78699B1C" w14:textId="1C2F79E4" w:rsidR="007D1E76" w:rsidRDefault="008862CA" w:rsidP="00CB41C4">
      <w:pPr>
        <w:tabs>
          <w:tab w:val="left" w:leader="underscore" w:pos="9639"/>
        </w:tabs>
        <w:spacing w:after="0" w:line="240" w:lineRule="auto"/>
        <w:jc w:val="both"/>
        <w:rPr>
          <w:rFonts w:cs="Calibri"/>
        </w:rPr>
      </w:pPr>
      <w:r w:rsidRPr="008862CA">
        <w:rPr>
          <w:rFonts w:cs="Calibri"/>
        </w:rPr>
        <w:t xml:space="preserve">No existen partes relacionadas que pudieran ejercer influencia significativa sobre la toma de decisiones financieras y operativas del </w:t>
      </w:r>
      <w:r>
        <w:rPr>
          <w:rFonts w:cs="Calibri"/>
        </w:rPr>
        <w:t>Parque Metropolitano.</w:t>
      </w:r>
    </w:p>
    <w:p w14:paraId="688A1317" w14:textId="1EDEF506" w:rsidR="008862CA" w:rsidRDefault="008862CA" w:rsidP="00CB41C4">
      <w:pPr>
        <w:tabs>
          <w:tab w:val="left" w:leader="underscore" w:pos="9639"/>
        </w:tabs>
        <w:spacing w:after="0" w:line="240" w:lineRule="auto"/>
        <w:jc w:val="both"/>
        <w:rPr>
          <w:rFonts w:cs="Calibri"/>
        </w:rPr>
      </w:pPr>
    </w:p>
    <w:p w14:paraId="6A6AB6D4" w14:textId="77777777" w:rsidR="008862CA" w:rsidRPr="00E74967" w:rsidRDefault="008862CA" w:rsidP="00CB41C4">
      <w:pPr>
        <w:tabs>
          <w:tab w:val="left" w:leader="underscore" w:pos="9639"/>
        </w:tabs>
        <w:spacing w:after="0" w:line="240" w:lineRule="auto"/>
        <w:jc w:val="both"/>
        <w:rPr>
          <w:rFonts w:cs="Calibri"/>
        </w:rPr>
      </w:pPr>
    </w:p>
    <w:p w14:paraId="06707DA2" w14:textId="5F80F270"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1</w:t>
      </w:r>
      <w:r w:rsidR="0034377D">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7719CEBD" w14:textId="19FAEBF9" w:rsidR="001B49DC" w:rsidRPr="008862CA" w:rsidRDefault="008862CA" w:rsidP="001B49DC">
      <w:pPr>
        <w:rPr>
          <w:rFonts w:cs="Calibri"/>
        </w:rPr>
      </w:pPr>
      <w:r w:rsidRPr="008862CA">
        <w:rPr>
          <w:rFonts w:cs="Calibri"/>
        </w:rPr>
        <w:t>Bajo protesta de decir la verdad declaramos que los estados e información financiera contable y sus notas, son razonablemente correctos y son responsabilidad del emisor.</w:t>
      </w:r>
    </w:p>
    <w:p w14:paraId="341D0D37" w14:textId="446B4B72" w:rsidR="001B49DC" w:rsidRDefault="001B49DC" w:rsidP="001B49DC">
      <w:pPr>
        <w:rPr>
          <w:rFonts w:ascii="Arial" w:eastAsia="Times New Roman" w:hAnsi="Arial" w:cs="Arial"/>
          <w:sz w:val="16"/>
          <w:szCs w:val="16"/>
          <w:lang w:eastAsia="es-MX"/>
        </w:rPr>
      </w:pPr>
    </w:p>
    <w:p w14:paraId="6BED56E3" w14:textId="710FC045" w:rsidR="00723967" w:rsidRDefault="00110495" w:rsidP="00723967">
      <w:r w:rsidRPr="00110495">
        <w:rPr>
          <w:b/>
          <w:bCs/>
          <w:noProof/>
        </w:rPr>
        <mc:AlternateContent>
          <mc:Choice Requires="wpg">
            <w:drawing>
              <wp:anchor distT="0" distB="0" distL="114300" distR="114300" simplePos="0" relativeHeight="251659264" behindDoc="0" locked="0" layoutInCell="1" allowOverlap="1" wp14:anchorId="3A41B260" wp14:editId="36F0FC98">
                <wp:simplePos x="0" y="0"/>
                <wp:positionH relativeFrom="column">
                  <wp:posOffset>-126073</wp:posOffset>
                </wp:positionH>
                <wp:positionV relativeFrom="paragraph">
                  <wp:posOffset>106869</wp:posOffset>
                </wp:positionV>
                <wp:extent cx="6567301" cy="1064260"/>
                <wp:effectExtent l="0" t="0" r="5080" b="2540"/>
                <wp:wrapNone/>
                <wp:docPr id="4" name="Grupo 7"/>
                <wp:cNvGraphicFramePr/>
                <a:graphic xmlns:a="http://schemas.openxmlformats.org/drawingml/2006/main">
                  <a:graphicData uri="http://schemas.microsoft.com/office/word/2010/wordprocessingGroup">
                    <wpg:wgp>
                      <wpg:cNvGrpSpPr/>
                      <wpg:grpSpPr>
                        <a:xfrm>
                          <a:off x="0" y="0"/>
                          <a:ext cx="6567301" cy="1064260"/>
                          <a:chOff x="0" y="0"/>
                          <a:chExt cx="6567301" cy="1064260"/>
                        </a:xfrm>
                      </wpg:grpSpPr>
                      <wps:wsp>
                        <wps:cNvPr id="5" name="Cuadro de texto 5"/>
                        <wps:cNvSpPr txBox="1">
                          <a:spLocks noChangeArrowheads="1"/>
                        </wps:cNvSpPr>
                        <wps:spPr bwMode="auto">
                          <a:xfrm>
                            <a:off x="0" y="3175"/>
                            <a:ext cx="2701925" cy="106108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0FE7711" w14:textId="77777777" w:rsidR="00110495" w:rsidRDefault="00110495" w:rsidP="00110495">
                              <w:pPr>
                                <w:kinsoku w:val="0"/>
                                <w:overflowPunct w:val="0"/>
                                <w:jc w:val="center"/>
                                <w:textAlignment w:val="baseline"/>
                                <w:rPr>
                                  <w:b/>
                                  <w:bCs/>
                                  <w:color w:val="000000" w:themeColor="text1"/>
                                  <w:kern w:val="24"/>
                                </w:rPr>
                              </w:pPr>
                              <w:r>
                                <w:rPr>
                                  <w:b/>
                                  <w:bCs/>
                                  <w:color w:val="000000" w:themeColor="text1"/>
                                  <w:kern w:val="24"/>
                                </w:rPr>
                                <w:t>LIC. JUAN CARLOS JUAREZ LÓPEZ</w:t>
                              </w:r>
                            </w:p>
                            <w:p w14:paraId="3D2A89DD" w14:textId="77777777" w:rsidR="00110495" w:rsidRDefault="00110495" w:rsidP="00110495">
                              <w:pPr>
                                <w:kinsoku w:val="0"/>
                                <w:overflowPunct w:val="0"/>
                                <w:jc w:val="center"/>
                                <w:textAlignment w:val="baseline"/>
                                <w:rPr>
                                  <w:b/>
                                  <w:bCs/>
                                  <w:color w:val="000000" w:themeColor="text1"/>
                                  <w:kern w:val="24"/>
                                </w:rPr>
                              </w:pPr>
                              <w:r>
                                <w:rPr>
                                  <w:b/>
                                  <w:bCs/>
                                  <w:color w:val="000000" w:themeColor="text1"/>
                                  <w:kern w:val="24"/>
                                </w:rPr>
                                <w:t>GERENTE ADMINISTRACIÓN Y FINANZAS</w:t>
                              </w:r>
                            </w:p>
                            <w:p w14:paraId="23F7B017" w14:textId="77777777" w:rsidR="00110495" w:rsidRDefault="00110495" w:rsidP="00110495">
                              <w:pPr>
                                <w:kinsoku w:val="0"/>
                                <w:overflowPunct w:val="0"/>
                                <w:jc w:val="center"/>
                                <w:textAlignment w:val="baseline"/>
                                <w:rPr>
                                  <w:b/>
                                  <w:bCs/>
                                  <w:color w:val="000000" w:themeColor="text1"/>
                                  <w:kern w:val="24"/>
                                </w:rPr>
                              </w:pPr>
                              <w:r>
                                <w:rPr>
                                  <w:b/>
                                  <w:bCs/>
                                  <w:color w:val="000000" w:themeColor="text1"/>
                                  <w:kern w:val="24"/>
                                </w:rPr>
                                <w:t>REVISA</w:t>
                              </w:r>
                            </w:p>
                          </w:txbxContent>
                        </wps:txbx>
                        <wps:bodyPr vert="horz" wrap="square" lIns="91440" tIns="45720" rIns="91440" bIns="45720" numCol="1" anchor="t" anchorCtr="0" compatLnSpc="1">
                          <a:prstTxWarp prst="textNoShape">
                            <a:avLst/>
                          </a:prstTxWarp>
                          <a:spAutoFit/>
                        </wps:bodyPr>
                      </wps:wsp>
                      <wps:wsp>
                        <wps:cNvPr id="6" name="Text Box 2"/>
                        <wps:cNvSpPr txBox="1">
                          <a:spLocks noChangeArrowheads="1"/>
                        </wps:cNvSpPr>
                        <wps:spPr bwMode="auto">
                          <a:xfrm>
                            <a:off x="3865376" y="0"/>
                            <a:ext cx="2701925" cy="106108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02B2843" w14:textId="77777777" w:rsidR="00110495" w:rsidRDefault="00110495" w:rsidP="00110495">
                              <w:pPr>
                                <w:kinsoku w:val="0"/>
                                <w:overflowPunct w:val="0"/>
                                <w:jc w:val="center"/>
                                <w:textAlignment w:val="baseline"/>
                                <w:rPr>
                                  <w:b/>
                                  <w:bCs/>
                                  <w:color w:val="000000" w:themeColor="text1"/>
                                  <w:kern w:val="24"/>
                                </w:rPr>
                              </w:pPr>
                              <w:r>
                                <w:rPr>
                                  <w:b/>
                                  <w:bCs/>
                                  <w:color w:val="000000" w:themeColor="text1"/>
                                  <w:kern w:val="24"/>
                                </w:rPr>
                                <w:t>ARQ. JUAN PABLO LUNA MERCADO</w:t>
                              </w:r>
                            </w:p>
                            <w:p w14:paraId="42B47E3D" w14:textId="77777777" w:rsidR="00110495" w:rsidRDefault="00110495" w:rsidP="00110495">
                              <w:pPr>
                                <w:kinsoku w:val="0"/>
                                <w:overflowPunct w:val="0"/>
                                <w:jc w:val="center"/>
                                <w:textAlignment w:val="baseline"/>
                                <w:rPr>
                                  <w:b/>
                                  <w:bCs/>
                                  <w:color w:val="000000" w:themeColor="text1"/>
                                  <w:kern w:val="24"/>
                                </w:rPr>
                              </w:pPr>
                              <w:r>
                                <w:rPr>
                                  <w:b/>
                                  <w:bCs/>
                                  <w:color w:val="000000" w:themeColor="text1"/>
                                  <w:kern w:val="24"/>
                                </w:rPr>
                                <w:t>DIRECTOR GENERAL</w:t>
                              </w:r>
                            </w:p>
                            <w:p w14:paraId="215BB338" w14:textId="77777777" w:rsidR="00110495" w:rsidRDefault="00110495" w:rsidP="00110495">
                              <w:pPr>
                                <w:kinsoku w:val="0"/>
                                <w:overflowPunct w:val="0"/>
                                <w:jc w:val="center"/>
                                <w:textAlignment w:val="baseline"/>
                                <w:rPr>
                                  <w:b/>
                                  <w:bCs/>
                                  <w:color w:val="000000" w:themeColor="text1"/>
                                  <w:kern w:val="24"/>
                                </w:rPr>
                              </w:pPr>
                              <w:r>
                                <w:rPr>
                                  <w:b/>
                                  <w:bCs/>
                                  <w:color w:val="000000" w:themeColor="text1"/>
                                  <w:kern w:val="24"/>
                                </w:rPr>
                                <w:t>AUTORIZA</w:t>
                              </w:r>
                            </w:p>
                          </w:txbxContent>
                        </wps:txbx>
                        <wps:bodyPr vert="horz" wrap="square" lIns="91440" tIns="45720" rIns="91440" bIns="45720" numCol="1" anchor="t" anchorCtr="0" compatLnSpc="1">
                          <a:prstTxWarp prst="textNoShape">
                            <a:avLst/>
                          </a:prstTxWarp>
                          <a:spAutoFit/>
                        </wps:bodyPr>
                      </wps:wsp>
                    </wpg:wgp>
                  </a:graphicData>
                </a:graphic>
                <wp14:sizeRelV relativeFrom="margin">
                  <wp14:pctHeight>0</wp14:pctHeight>
                </wp14:sizeRelV>
              </wp:anchor>
            </w:drawing>
          </mc:Choice>
          <mc:Fallback>
            <w:pict>
              <v:group w14:anchorId="3A41B260" id="Grupo 7" o:spid="_x0000_s1026" style="position:absolute;margin-left:-9.95pt;margin-top:8.4pt;width:517.1pt;height:83.8pt;z-index:251659264;mso-height-relative:margin" coordsize="65673,10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">
                <v:shapetype id="_x0000_t202" coordsize="21600,21600" o:spt="202" path="m,l,21600r21600,l21600,xe">
                  <v:stroke joinstyle="miter"/>
                  <v:path gradientshapeok="t" o:connecttype="rect"/>
                </v:shapetype>
                <v:shape id="Cuadro de texto 5" o:spid="_x0000_s1027" type="#_x0000_t202" style="position:absolute;top:31;width:27019;height:10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" stroked="f" strokeweight=".25pt">
                  <v:textbox style="mso-fit-shape-to-text:t">
                    <w:txbxContent>
                      <w:p w14:paraId="00FE7711" w14:textId="77777777" w:rsidR="00110495" w:rsidRDefault="00110495" w:rsidP="00110495">
                        <w:pPr>
                          <w:kinsoku w:val="0"/>
                          <w:overflowPunct w:val="0"/>
                          <w:jc w:val="center"/>
                          <w:textAlignment w:val="baseline"/>
                          <w:rPr>
                            <w:b/>
                            <w:bCs/>
                            <w:color w:val="000000" w:themeColor="text1"/>
                            <w:kern w:val="24"/>
                          </w:rPr>
                        </w:pPr>
                        <w:r>
                          <w:rPr>
                            <w:b/>
                            <w:bCs/>
                            <w:color w:val="000000" w:themeColor="text1"/>
                            <w:kern w:val="24"/>
                          </w:rPr>
                          <w:t>LIC. JUAN CARLOS JUAREZ LÓPEZ</w:t>
                        </w:r>
                      </w:p>
                      <w:p w14:paraId="3D2A89DD" w14:textId="77777777" w:rsidR="00110495" w:rsidRDefault="00110495" w:rsidP="00110495">
                        <w:pPr>
                          <w:kinsoku w:val="0"/>
                          <w:overflowPunct w:val="0"/>
                          <w:jc w:val="center"/>
                          <w:textAlignment w:val="baseline"/>
                          <w:rPr>
                            <w:b/>
                            <w:bCs/>
                            <w:color w:val="000000" w:themeColor="text1"/>
                            <w:kern w:val="24"/>
                          </w:rPr>
                        </w:pPr>
                        <w:r>
                          <w:rPr>
                            <w:b/>
                            <w:bCs/>
                            <w:color w:val="000000" w:themeColor="text1"/>
                            <w:kern w:val="24"/>
                          </w:rPr>
                          <w:t>GERENTE ADMINISTRACIÓN Y FINANZAS</w:t>
                        </w:r>
                      </w:p>
                      <w:p w14:paraId="23F7B017" w14:textId="77777777" w:rsidR="00110495" w:rsidRDefault="00110495" w:rsidP="00110495">
                        <w:pPr>
                          <w:kinsoku w:val="0"/>
                          <w:overflowPunct w:val="0"/>
                          <w:jc w:val="center"/>
                          <w:textAlignment w:val="baseline"/>
                          <w:rPr>
                            <w:b/>
                            <w:bCs/>
                            <w:color w:val="000000" w:themeColor="text1"/>
                            <w:kern w:val="24"/>
                          </w:rPr>
                        </w:pPr>
                        <w:r>
                          <w:rPr>
                            <w:b/>
                            <w:bCs/>
                            <w:color w:val="000000" w:themeColor="text1"/>
                            <w:kern w:val="24"/>
                          </w:rPr>
                          <w:t>REVISA</w:t>
                        </w:r>
                      </w:p>
                    </w:txbxContent>
                  </v:textbox>
                </v:shape>
                <v:shape id="Text Box 2" o:spid="_x0000_s1028" type="#_x0000_t202" style="position:absolute;left:38653;width:27020;height:10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" stroked="f" strokeweight=".25pt">
                  <v:textbox style="mso-fit-shape-to-text:t">
                    <w:txbxContent>
                      <w:p w14:paraId="702B2843" w14:textId="77777777" w:rsidR="00110495" w:rsidRDefault="00110495" w:rsidP="00110495">
                        <w:pPr>
                          <w:kinsoku w:val="0"/>
                          <w:overflowPunct w:val="0"/>
                          <w:jc w:val="center"/>
                          <w:textAlignment w:val="baseline"/>
                          <w:rPr>
                            <w:b/>
                            <w:bCs/>
                            <w:color w:val="000000" w:themeColor="text1"/>
                            <w:kern w:val="24"/>
                          </w:rPr>
                        </w:pPr>
                        <w:r>
                          <w:rPr>
                            <w:b/>
                            <w:bCs/>
                            <w:color w:val="000000" w:themeColor="text1"/>
                            <w:kern w:val="24"/>
                          </w:rPr>
                          <w:t>ARQ. JUAN PABLO LUNA MERCADO</w:t>
                        </w:r>
                      </w:p>
                      <w:p w14:paraId="42B47E3D" w14:textId="77777777" w:rsidR="00110495" w:rsidRDefault="00110495" w:rsidP="00110495">
                        <w:pPr>
                          <w:kinsoku w:val="0"/>
                          <w:overflowPunct w:val="0"/>
                          <w:jc w:val="center"/>
                          <w:textAlignment w:val="baseline"/>
                          <w:rPr>
                            <w:b/>
                            <w:bCs/>
                            <w:color w:val="000000" w:themeColor="text1"/>
                            <w:kern w:val="24"/>
                          </w:rPr>
                        </w:pPr>
                        <w:r>
                          <w:rPr>
                            <w:b/>
                            <w:bCs/>
                            <w:color w:val="000000" w:themeColor="text1"/>
                            <w:kern w:val="24"/>
                          </w:rPr>
                          <w:t>DIRECTOR GENERAL</w:t>
                        </w:r>
                      </w:p>
                      <w:p w14:paraId="215BB338" w14:textId="77777777" w:rsidR="00110495" w:rsidRDefault="00110495" w:rsidP="00110495">
                        <w:pPr>
                          <w:kinsoku w:val="0"/>
                          <w:overflowPunct w:val="0"/>
                          <w:jc w:val="center"/>
                          <w:textAlignment w:val="baseline"/>
                          <w:rPr>
                            <w:b/>
                            <w:bCs/>
                            <w:color w:val="000000" w:themeColor="text1"/>
                            <w:kern w:val="24"/>
                          </w:rPr>
                        </w:pPr>
                        <w:r>
                          <w:rPr>
                            <w:b/>
                            <w:bCs/>
                            <w:color w:val="000000" w:themeColor="text1"/>
                            <w:kern w:val="24"/>
                          </w:rPr>
                          <w:t>AUTORIZA</w:t>
                        </w:r>
                      </w:p>
                    </w:txbxContent>
                  </v:textbox>
                </v:shape>
              </v:group>
            </w:pict>
          </mc:Fallback>
        </mc:AlternateContent>
      </w:r>
    </w:p>
    <w:p w14:paraId="0B2B33D6" w14:textId="2DC5444C" w:rsidR="00723967" w:rsidRDefault="00723967" w:rsidP="00723967"/>
    <w:p w14:paraId="1370457A" w14:textId="172B3EAA" w:rsidR="00723967" w:rsidRPr="00723967" w:rsidRDefault="00723967" w:rsidP="00723967">
      <w:pPr>
        <w:rPr>
          <w:b/>
          <w:bCs/>
        </w:rPr>
      </w:pPr>
    </w:p>
    <w:p w14:paraId="633A3020" w14:textId="5DB0C4E3" w:rsidR="008862CA" w:rsidRPr="00723967" w:rsidRDefault="008862CA" w:rsidP="001B49DC">
      <w:pPr>
        <w:rPr>
          <w:rFonts w:ascii="Arial" w:eastAsia="Times New Roman" w:hAnsi="Arial" w:cs="Arial"/>
          <w:b/>
          <w:bCs/>
          <w:sz w:val="16"/>
          <w:szCs w:val="16"/>
          <w:lang w:eastAsia="es-MX"/>
        </w:rPr>
      </w:pPr>
    </w:p>
    <w:p w14:paraId="2656E93C" w14:textId="6F3E6B40" w:rsidR="00723967" w:rsidRPr="00723967" w:rsidRDefault="00723967" w:rsidP="00723967">
      <w:pPr>
        <w:rPr>
          <w:rFonts w:ascii="Arial" w:eastAsia="Times New Roman" w:hAnsi="Arial" w:cs="Arial"/>
          <w:b/>
          <w:bCs/>
          <w:sz w:val="16"/>
          <w:szCs w:val="16"/>
          <w:lang w:eastAsia="es-MX"/>
        </w:rPr>
      </w:pPr>
    </w:p>
    <w:p w14:paraId="48A568E4" w14:textId="0CB5C960" w:rsidR="00723967" w:rsidRPr="00723967" w:rsidRDefault="00723967" w:rsidP="00723967">
      <w:pPr>
        <w:rPr>
          <w:rFonts w:ascii="Arial" w:eastAsia="Times New Roman" w:hAnsi="Arial" w:cs="Arial"/>
          <w:b/>
          <w:bCs/>
          <w:sz w:val="16"/>
          <w:szCs w:val="16"/>
          <w:lang w:eastAsia="es-MX"/>
        </w:rPr>
      </w:pPr>
    </w:p>
    <w:p w14:paraId="34FB137C" w14:textId="1F274AF3" w:rsidR="00723967" w:rsidRPr="00723967" w:rsidRDefault="00723967" w:rsidP="00723967">
      <w:pPr>
        <w:rPr>
          <w:rFonts w:ascii="Arial" w:eastAsia="Times New Roman" w:hAnsi="Arial" w:cs="Arial"/>
          <w:b/>
          <w:bCs/>
          <w:sz w:val="16"/>
          <w:szCs w:val="16"/>
          <w:lang w:eastAsia="es-MX"/>
        </w:rPr>
      </w:pPr>
    </w:p>
    <w:p w14:paraId="399E836E" w14:textId="77777777" w:rsidR="00723967" w:rsidRPr="00723967" w:rsidRDefault="00723967" w:rsidP="00723967">
      <w:pPr>
        <w:jc w:val="right"/>
        <w:rPr>
          <w:rFonts w:ascii="Arial" w:eastAsia="Times New Roman" w:hAnsi="Arial" w:cs="Arial"/>
          <w:sz w:val="16"/>
          <w:szCs w:val="16"/>
          <w:lang w:eastAsia="es-MX"/>
        </w:rPr>
      </w:pPr>
    </w:p>
    <w:sectPr w:rsidR="00723967" w:rsidRPr="00723967" w:rsidSect="00DF3E45">
      <w:headerReference w:type="even" r:id="rId13"/>
      <w:headerReference w:type="default" r:id="rId14"/>
      <w:footerReference w:type="even" r:id="rId15"/>
      <w:footerReference w:type="default" r:id="rId16"/>
      <w:headerReference w:type="first" r:id="rId17"/>
      <w:footerReference w:type="firs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2AC6" w14:textId="77777777" w:rsidR="008B6FD4" w:rsidRDefault="008B6FD4" w:rsidP="00E00323">
      <w:pPr>
        <w:spacing w:after="0" w:line="240" w:lineRule="auto"/>
      </w:pPr>
      <w:r>
        <w:separator/>
      </w:r>
    </w:p>
  </w:endnote>
  <w:endnote w:type="continuationSeparator" w:id="0">
    <w:p w14:paraId="29A3EFD6" w14:textId="77777777" w:rsidR="008B6FD4" w:rsidRDefault="008B6FD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85BD" w14:textId="77777777" w:rsidR="006A56AF" w:rsidRDefault="006A56A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754E20C3" w:rsidR="0012405A" w:rsidRDefault="0012405A">
        <w:pPr>
          <w:pStyle w:val="Piedepgina"/>
          <w:jc w:val="right"/>
        </w:pPr>
        <w:r>
          <w:fldChar w:fldCharType="begin"/>
        </w:r>
        <w:r>
          <w:instrText>PAGE   \* MERGEFORMAT</w:instrText>
        </w:r>
        <w:r>
          <w:fldChar w:fldCharType="separate"/>
        </w:r>
        <w:r w:rsidR="0034377D" w:rsidRPr="0034377D">
          <w:rPr>
            <w:noProof/>
            <w:lang w:val="es-ES"/>
          </w:rPr>
          <w:t>8</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67BA" w14:textId="77777777" w:rsidR="006A56AF" w:rsidRDefault="006A56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8F253" w14:textId="77777777" w:rsidR="008B6FD4" w:rsidRDefault="008B6FD4" w:rsidP="00E00323">
      <w:pPr>
        <w:spacing w:after="0" w:line="240" w:lineRule="auto"/>
      </w:pPr>
      <w:r>
        <w:separator/>
      </w:r>
    </w:p>
  </w:footnote>
  <w:footnote w:type="continuationSeparator" w:id="0">
    <w:p w14:paraId="31EFC32F" w14:textId="77777777" w:rsidR="008B6FD4" w:rsidRDefault="008B6FD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8078" w14:textId="77777777" w:rsidR="006A56AF" w:rsidRDefault="006A56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16A84E06" w:rsidR="00154BA3" w:rsidRDefault="00F363C4" w:rsidP="00A24805">
    <w:pPr>
      <w:pStyle w:val="Encabezado"/>
      <w:spacing w:after="0" w:line="240" w:lineRule="auto"/>
      <w:jc w:val="center"/>
    </w:pPr>
    <w:r>
      <w:rPr>
        <w:noProof/>
        <w:lang w:eastAsia="es-MX"/>
      </w:rPr>
      <w:drawing>
        <wp:anchor distT="0" distB="0" distL="114300" distR="114300" simplePos="0" relativeHeight="251658240" behindDoc="0" locked="0" layoutInCell="1" allowOverlap="1" wp14:anchorId="7E76FB5F" wp14:editId="1E8A4208">
          <wp:simplePos x="0" y="0"/>
          <wp:positionH relativeFrom="margin">
            <wp:align>left</wp:align>
          </wp:positionH>
          <wp:positionV relativeFrom="paragraph">
            <wp:posOffset>-221615</wp:posOffset>
          </wp:positionV>
          <wp:extent cx="1428750" cy="666750"/>
          <wp:effectExtent l="0" t="0" r="0" b="0"/>
          <wp:wrapSquare wrapText="bothSides"/>
          <wp:docPr id="2"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8750" cy="666750"/>
                  </a:xfrm>
                  <a:prstGeom prst="rect">
                    <a:avLst/>
                  </a:prstGeom>
                </pic:spPr>
              </pic:pic>
            </a:graphicData>
          </a:graphic>
          <wp14:sizeRelH relativeFrom="page">
            <wp14:pctWidth>0</wp14:pctWidth>
          </wp14:sizeRelH>
          <wp14:sizeRelV relativeFrom="page">
            <wp14:pctHeight>0</wp14:pctHeight>
          </wp14:sizeRelV>
        </wp:anchor>
      </w:drawing>
    </w:r>
    <w:r w:rsidR="00AB4B1F">
      <w:t xml:space="preserve">Parque Ecológico de León, </w:t>
    </w:r>
    <w:proofErr w:type="spellStart"/>
    <w:r w:rsidR="00AB4B1F">
      <w:t>Gto</w:t>
    </w:r>
    <w:proofErr w:type="spellEnd"/>
    <w:r w:rsidR="00AB4B1F">
      <w:t>.</w:t>
    </w:r>
    <w:r w:rsidR="00C3222B">
      <w:t xml:space="preserve"> “Eliseo Martínez Pérez”</w:t>
    </w:r>
  </w:p>
  <w:p w14:paraId="4D649642" w14:textId="2210E29D" w:rsidR="00A24805" w:rsidRDefault="00A24805" w:rsidP="00A24805">
    <w:pPr>
      <w:pStyle w:val="Encabezado"/>
      <w:spacing w:after="0" w:line="240" w:lineRule="auto"/>
      <w:jc w:val="center"/>
    </w:pPr>
    <w:r>
      <w:t>NOTAS DE GESTIÓN ADMINISTRATIVA</w:t>
    </w:r>
  </w:p>
  <w:p w14:paraId="651A4C4F" w14:textId="6C2433F9" w:rsidR="00A4610E" w:rsidRDefault="00A24805" w:rsidP="00A24805">
    <w:pPr>
      <w:pStyle w:val="Encabezado"/>
      <w:spacing w:after="0" w:line="240" w:lineRule="auto"/>
      <w:jc w:val="center"/>
    </w:pPr>
    <w:r>
      <w:t>A</w:t>
    </w:r>
    <w:r w:rsidR="004E31B1">
      <w:t xml:space="preserve">l </w:t>
    </w:r>
    <w:r w:rsidR="00501CE1">
      <w:t>3</w:t>
    </w:r>
    <w:r w:rsidR="006A56AF">
      <w:t>1</w:t>
    </w:r>
    <w:r w:rsidR="00865336">
      <w:t xml:space="preserve"> de </w:t>
    </w:r>
    <w:proofErr w:type="gramStart"/>
    <w:r w:rsidR="006F2CC3">
      <w:t>Diciembre</w:t>
    </w:r>
    <w:proofErr w:type="gramEnd"/>
    <w:r w:rsidR="00C62EE5">
      <w:t xml:space="preserve"> </w:t>
    </w:r>
    <w:r w:rsidR="00501CE1">
      <w:t>202</w:t>
    </w:r>
    <w:r w:rsidR="00923B37">
      <w:t>4</w:t>
    </w:r>
  </w:p>
  <w:p w14:paraId="5BC0534F" w14:textId="3D44F9C3" w:rsidR="00A24805" w:rsidRDefault="00A24805" w:rsidP="00A24805">
    <w:pPr>
      <w:pStyle w:val="Encabezado"/>
      <w:spacing w:after="0" w:line="240" w:lineRule="auto"/>
      <w:jc w:val="center"/>
    </w:pPr>
    <w:r>
      <w:t xml:space="preserve">                                                 (Cifras en pesos)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96B3" w14:textId="77777777" w:rsidR="006A56AF" w:rsidRDefault="006A56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64F"/>
    <w:multiLevelType w:val="hybridMultilevel"/>
    <w:tmpl w:val="2E364D2E"/>
    <w:lvl w:ilvl="0" w:tplc="B302C86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B27266"/>
    <w:multiLevelType w:val="hybridMultilevel"/>
    <w:tmpl w:val="9A98460E"/>
    <w:lvl w:ilvl="0" w:tplc="1F36D9A8">
      <w:start w:val="1"/>
      <w:numFmt w:val="lowerRoman"/>
      <w:lvlText w:val="%1)"/>
      <w:lvlJc w:val="left"/>
      <w:pPr>
        <w:ind w:left="1855" w:hanging="72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 w15:restartNumberingAfterBreak="0">
    <w:nsid w:val="37CB2FBA"/>
    <w:multiLevelType w:val="hybridMultilevel"/>
    <w:tmpl w:val="812AC1EC"/>
    <w:lvl w:ilvl="0" w:tplc="B36A63B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415C7E"/>
    <w:multiLevelType w:val="hybridMultilevel"/>
    <w:tmpl w:val="0B0E9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521ED7"/>
    <w:multiLevelType w:val="hybridMultilevel"/>
    <w:tmpl w:val="2140F896"/>
    <w:lvl w:ilvl="0" w:tplc="1004C04E">
      <w:start w:val="5"/>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A809D8"/>
    <w:multiLevelType w:val="hybridMultilevel"/>
    <w:tmpl w:val="13645DAA"/>
    <w:lvl w:ilvl="0" w:tplc="5E2AF3C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D4F340E"/>
    <w:multiLevelType w:val="hybridMultilevel"/>
    <w:tmpl w:val="A5F2C9A2"/>
    <w:lvl w:ilvl="0" w:tplc="C4E63A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278D"/>
    <w:rsid w:val="0001607F"/>
    <w:rsid w:val="00024743"/>
    <w:rsid w:val="00040D4F"/>
    <w:rsid w:val="00077771"/>
    <w:rsid w:val="00084EAE"/>
    <w:rsid w:val="00091CE6"/>
    <w:rsid w:val="000B7810"/>
    <w:rsid w:val="000C3365"/>
    <w:rsid w:val="00110495"/>
    <w:rsid w:val="0012405A"/>
    <w:rsid w:val="00154BA3"/>
    <w:rsid w:val="001973A2"/>
    <w:rsid w:val="001B49DC"/>
    <w:rsid w:val="001C75F2"/>
    <w:rsid w:val="001D2063"/>
    <w:rsid w:val="001D43E9"/>
    <w:rsid w:val="001F3BBD"/>
    <w:rsid w:val="002030D4"/>
    <w:rsid w:val="00216BD1"/>
    <w:rsid w:val="00232175"/>
    <w:rsid w:val="00233B4B"/>
    <w:rsid w:val="0024112D"/>
    <w:rsid w:val="00252368"/>
    <w:rsid w:val="002E5456"/>
    <w:rsid w:val="003259B5"/>
    <w:rsid w:val="0032743F"/>
    <w:rsid w:val="0034377D"/>
    <w:rsid w:val="003453CA"/>
    <w:rsid w:val="003475C7"/>
    <w:rsid w:val="003640FC"/>
    <w:rsid w:val="003671BF"/>
    <w:rsid w:val="003A517B"/>
    <w:rsid w:val="003D36C6"/>
    <w:rsid w:val="003F7CB2"/>
    <w:rsid w:val="00435A87"/>
    <w:rsid w:val="0045510D"/>
    <w:rsid w:val="00467FFD"/>
    <w:rsid w:val="004816B4"/>
    <w:rsid w:val="004A58C8"/>
    <w:rsid w:val="004B0198"/>
    <w:rsid w:val="004C1B06"/>
    <w:rsid w:val="004C223E"/>
    <w:rsid w:val="004C36B1"/>
    <w:rsid w:val="004E31B1"/>
    <w:rsid w:val="004F234D"/>
    <w:rsid w:val="00501CE1"/>
    <w:rsid w:val="00531E79"/>
    <w:rsid w:val="00546242"/>
    <w:rsid w:val="0054701E"/>
    <w:rsid w:val="00565D0F"/>
    <w:rsid w:val="005A3B44"/>
    <w:rsid w:val="005B25EA"/>
    <w:rsid w:val="005B5531"/>
    <w:rsid w:val="005D3E43"/>
    <w:rsid w:val="005E231E"/>
    <w:rsid w:val="00657009"/>
    <w:rsid w:val="00677E5A"/>
    <w:rsid w:val="00681C79"/>
    <w:rsid w:val="006855AC"/>
    <w:rsid w:val="006A56AF"/>
    <w:rsid w:val="006F2CC3"/>
    <w:rsid w:val="006F6AA1"/>
    <w:rsid w:val="00710F0D"/>
    <w:rsid w:val="007169B1"/>
    <w:rsid w:val="00723967"/>
    <w:rsid w:val="007610BC"/>
    <w:rsid w:val="007714AB"/>
    <w:rsid w:val="00783325"/>
    <w:rsid w:val="00785BC0"/>
    <w:rsid w:val="007A184A"/>
    <w:rsid w:val="007B17E5"/>
    <w:rsid w:val="007C5C9A"/>
    <w:rsid w:val="007D1E76"/>
    <w:rsid w:val="007D4484"/>
    <w:rsid w:val="00816577"/>
    <w:rsid w:val="008351A4"/>
    <w:rsid w:val="00847CFA"/>
    <w:rsid w:val="008624DF"/>
    <w:rsid w:val="0086459F"/>
    <w:rsid w:val="00865336"/>
    <w:rsid w:val="0088007F"/>
    <w:rsid w:val="008862CA"/>
    <w:rsid w:val="00891450"/>
    <w:rsid w:val="008B6FD4"/>
    <w:rsid w:val="008C3BB8"/>
    <w:rsid w:val="008E076C"/>
    <w:rsid w:val="0090761E"/>
    <w:rsid w:val="00923B37"/>
    <w:rsid w:val="0092765C"/>
    <w:rsid w:val="00951FC7"/>
    <w:rsid w:val="00966BCA"/>
    <w:rsid w:val="00974566"/>
    <w:rsid w:val="009A3CFB"/>
    <w:rsid w:val="00A24805"/>
    <w:rsid w:val="00A3386C"/>
    <w:rsid w:val="00A435F8"/>
    <w:rsid w:val="00A4610E"/>
    <w:rsid w:val="00A730E0"/>
    <w:rsid w:val="00AA0154"/>
    <w:rsid w:val="00AA41E5"/>
    <w:rsid w:val="00AB4B1F"/>
    <w:rsid w:val="00AB722B"/>
    <w:rsid w:val="00AE1F6A"/>
    <w:rsid w:val="00B17FAE"/>
    <w:rsid w:val="00B36086"/>
    <w:rsid w:val="00B76BBF"/>
    <w:rsid w:val="00C0282E"/>
    <w:rsid w:val="00C3222B"/>
    <w:rsid w:val="00C52854"/>
    <w:rsid w:val="00C62EE5"/>
    <w:rsid w:val="00C86A7B"/>
    <w:rsid w:val="00C96EF8"/>
    <w:rsid w:val="00C97E1E"/>
    <w:rsid w:val="00CB41C4"/>
    <w:rsid w:val="00CF0773"/>
    <w:rsid w:val="00CF1316"/>
    <w:rsid w:val="00CF2C04"/>
    <w:rsid w:val="00CF7609"/>
    <w:rsid w:val="00D13C44"/>
    <w:rsid w:val="00D40FC2"/>
    <w:rsid w:val="00D5018E"/>
    <w:rsid w:val="00D62706"/>
    <w:rsid w:val="00D74FDC"/>
    <w:rsid w:val="00D91CB3"/>
    <w:rsid w:val="00D975B1"/>
    <w:rsid w:val="00DA724A"/>
    <w:rsid w:val="00DB728A"/>
    <w:rsid w:val="00DD3E41"/>
    <w:rsid w:val="00DE5E05"/>
    <w:rsid w:val="00DF3E45"/>
    <w:rsid w:val="00DF5C5E"/>
    <w:rsid w:val="00E00323"/>
    <w:rsid w:val="00E15038"/>
    <w:rsid w:val="00E21E01"/>
    <w:rsid w:val="00E4161A"/>
    <w:rsid w:val="00E60333"/>
    <w:rsid w:val="00E74967"/>
    <w:rsid w:val="00E7559F"/>
    <w:rsid w:val="00E77932"/>
    <w:rsid w:val="00E865F9"/>
    <w:rsid w:val="00E86C71"/>
    <w:rsid w:val="00EA37F5"/>
    <w:rsid w:val="00EA5B67"/>
    <w:rsid w:val="00EA7915"/>
    <w:rsid w:val="00EA7976"/>
    <w:rsid w:val="00EE1612"/>
    <w:rsid w:val="00F363C4"/>
    <w:rsid w:val="00F46719"/>
    <w:rsid w:val="00F54F6F"/>
    <w:rsid w:val="00F6102D"/>
    <w:rsid w:val="00F65A92"/>
    <w:rsid w:val="00FA12F8"/>
    <w:rsid w:val="00FB13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8C6EB4E4-F51C-4178-9CF1-0EDBB583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C163629C-09AF-4FC2-9B08-5AF068294A2F}">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9</Pages>
  <Words>2597</Words>
  <Characters>14286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16850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Administración PML</cp:lastModifiedBy>
  <cp:revision>23</cp:revision>
  <cp:lastPrinted>2025-02-13T14:54:00Z</cp:lastPrinted>
  <dcterms:created xsi:type="dcterms:W3CDTF">2024-04-23T06:23:00Z</dcterms:created>
  <dcterms:modified xsi:type="dcterms:W3CDTF">2025-02-14T15:29:00Z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